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E8B0C1" w14:textId="0FA14F7E" w:rsidR="00A61D74" w:rsidRDefault="00A61D74" w:rsidP="00A61D74">
      <w:pPr>
        <w:jc w:val="center"/>
        <w:rPr>
          <w:rFonts w:eastAsia="Times New Roman" w:cs="Times New Roman"/>
          <w:color w:val="333333"/>
          <w:sz w:val="21"/>
          <w:szCs w:val="21"/>
          <w:lang w:eastAsia="en-GB"/>
        </w:rPr>
      </w:pPr>
      <w:bookmarkStart w:id="0" w:name="_GoBack"/>
      <w:bookmarkEnd w:id="0"/>
    </w:p>
    <w:p w14:paraId="65D1BF9E" w14:textId="47C5B831" w:rsidR="0058556D" w:rsidRPr="00573631" w:rsidRDefault="00C75095" w:rsidP="00D70AD9">
      <w:pPr>
        <w:shd w:val="clear" w:color="auto" w:fill="F5F5F5"/>
        <w:spacing w:after="0"/>
        <w:outlineLvl w:val="4"/>
        <w:rPr>
          <w:rFonts w:eastAsia="Times New Roman" w:cs="Times New Roman"/>
          <w:color w:val="333333"/>
          <w:sz w:val="21"/>
          <w:szCs w:val="21"/>
          <w:lang w:eastAsia="en-GB"/>
        </w:rPr>
      </w:pPr>
      <w:r>
        <w:rPr>
          <w:rFonts w:eastAsia="Times New Roman" w:cs="Times New Roman"/>
          <w:color w:val="333333"/>
          <w:sz w:val="21"/>
          <w:szCs w:val="21"/>
          <w:lang w:eastAsia="en-GB"/>
        </w:rPr>
        <w:t>Goal</w:t>
      </w:r>
      <w:r w:rsidR="00D70AD9">
        <w:rPr>
          <w:rFonts w:eastAsia="Times New Roman" w:cs="Times New Roman"/>
          <w:color w:val="333333"/>
          <w:sz w:val="21"/>
          <w:szCs w:val="21"/>
          <w:lang w:eastAsia="en-GB"/>
        </w:rPr>
        <w:t>:</w:t>
      </w:r>
      <w:r>
        <w:rPr>
          <w:rFonts w:eastAsia="Times New Roman" w:cs="Times New Roman"/>
          <w:color w:val="333333"/>
          <w:sz w:val="21"/>
          <w:szCs w:val="21"/>
          <w:lang w:eastAsia="en-GB"/>
        </w:rPr>
        <w:t xml:space="preserve"> </w:t>
      </w:r>
      <w:r w:rsidR="00DE2EA3">
        <w:rPr>
          <w:rFonts w:eastAsia="Times New Roman" w:cs="Times New Roman"/>
          <w:color w:val="333333"/>
          <w:sz w:val="21"/>
          <w:szCs w:val="21"/>
          <w:lang w:eastAsia="en-GB"/>
        </w:rPr>
        <w:t>6</w:t>
      </w:r>
    </w:p>
    <w:p w14:paraId="4B5A53C0" w14:textId="1E98768E" w:rsidR="002D2DB4" w:rsidRPr="002D2DB4" w:rsidRDefault="002D2DB4" w:rsidP="002D2DB4">
      <w:pPr>
        <w:shd w:val="clear" w:color="auto" w:fill="F5F5F5"/>
        <w:spacing w:after="0"/>
        <w:outlineLvl w:val="4"/>
        <w:rPr>
          <w:rFonts w:eastAsia="Times New Roman" w:cs="Times New Roman"/>
          <w:color w:val="333333"/>
          <w:sz w:val="21"/>
          <w:szCs w:val="21"/>
          <w:lang w:eastAsia="en-GB"/>
        </w:rPr>
      </w:pPr>
      <w:r w:rsidRPr="002D2DB4">
        <w:rPr>
          <w:rFonts w:eastAsia="Times New Roman" w:cs="Times New Roman"/>
          <w:color w:val="333333"/>
          <w:sz w:val="21"/>
          <w:szCs w:val="21"/>
          <w:lang w:eastAsia="en-GB"/>
        </w:rPr>
        <w:t>Target 6.6: By 2020 protect and restore water-related ecosystems, including mountains, forests, wetlands, rivers, aquifers and lakes</w:t>
      </w:r>
    </w:p>
    <w:p w14:paraId="3158E959" w14:textId="17E1557F" w:rsidR="0058556D" w:rsidRPr="00573631" w:rsidRDefault="002D2DB4" w:rsidP="00D70AD9">
      <w:pPr>
        <w:shd w:val="clear" w:color="auto" w:fill="F5F5F5"/>
        <w:spacing w:after="0"/>
        <w:outlineLvl w:val="1"/>
        <w:rPr>
          <w:rFonts w:eastAsia="Times New Roman" w:cs="Times New Roman"/>
          <w:color w:val="1C75BC"/>
          <w:lang w:eastAsia="en-GB"/>
        </w:rPr>
      </w:pPr>
      <w:r w:rsidRPr="002D2DB4">
        <w:rPr>
          <w:rFonts w:eastAsia="Times New Roman" w:cs="Times New Roman"/>
          <w:color w:val="1C75BC"/>
          <w:lang w:eastAsia="en-GB"/>
        </w:rPr>
        <w:t>Indicator 6.6.1: Change in the extent of water-related ecosystems over time</w:t>
      </w:r>
    </w:p>
    <w:p w14:paraId="3AFCD386" w14:textId="77777777" w:rsidR="0058556D" w:rsidRPr="00573631" w:rsidRDefault="0058556D" w:rsidP="00573631">
      <w:pPr>
        <w:shd w:val="clear" w:color="auto" w:fill="F5F5F5"/>
        <w:spacing w:after="0"/>
        <w:outlineLvl w:val="1"/>
        <w:rPr>
          <w:rFonts w:eastAsia="Times New Roman" w:cs="Times New Roman"/>
          <w:color w:val="1C75BC"/>
          <w:lang w:eastAsia="en-GB"/>
        </w:rPr>
      </w:pPr>
    </w:p>
    <w:p w14:paraId="104B8D81"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Institutional information</w:t>
      </w:r>
    </w:p>
    <w:p w14:paraId="3D804ED4"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7E5CE0FF" w14:textId="77777777" w:rsidR="0058556D" w:rsidRPr="00573631" w:rsidRDefault="0058556D" w:rsidP="00573631">
      <w:pPr>
        <w:shd w:val="clear" w:color="auto" w:fill="FFFFFF"/>
        <w:spacing w:after="0"/>
        <w:rPr>
          <w:rFonts w:eastAsia="Times New Roman" w:cs="Times New Roman"/>
          <w:color w:val="4A4A4A"/>
          <w:sz w:val="21"/>
          <w:szCs w:val="21"/>
          <w:lang w:eastAsia="en-GB"/>
        </w:rPr>
      </w:pPr>
      <w:bookmarkStart w:id="1" w:name="_Hlk507764156"/>
      <w:r w:rsidRPr="00573631">
        <w:rPr>
          <w:rFonts w:eastAsia="Times New Roman" w:cs="Times New Roman"/>
          <w:b/>
          <w:bCs/>
          <w:color w:val="4A4A4A"/>
          <w:sz w:val="21"/>
          <w:szCs w:val="21"/>
          <w:lang w:eastAsia="en-GB"/>
        </w:rPr>
        <w:t>Organization(s):</w:t>
      </w:r>
    </w:p>
    <w:p w14:paraId="4C308980" w14:textId="6F14E465" w:rsidR="0058556D" w:rsidRPr="004B3091" w:rsidRDefault="00C75095" w:rsidP="00573631">
      <w:pPr>
        <w:shd w:val="clear" w:color="auto" w:fill="FFFFFF"/>
        <w:spacing w:after="0"/>
        <w:rPr>
          <w:rFonts w:eastAsia="Times New Roman" w:cs="Times New Roman"/>
          <w:color w:val="4A4A4A"/>
          <w:sz w:val="21"/>
          <w:szCs w:val="21"/>
          <w:lang w:val="en-US" w:eastAsia="en-GB"/>
        </w:rPr>
      </w:pPr>
      <w:r w:rsidRPr="004B3091">
        <w:rPr>
          <w:rFonts w:eastAsia="Times New Roman" w:cs="Times New Roman"/>
          <w:color w:val="4A4A4A"/>
          <w:sz w:val="21"/>
          <w:szCs w:val="21"/>
          <w:lang w:val="en-US" w:eastAsia="en-GB"/>
        </w:rPr>
        <w:t>UN Environment</w:t>
      </w:r>
      <w:r w:rsidR="00042C85" w:rsidRPr="004B3091">
        <w:rPr>
          <w:rFonts w:eastAsia="Times New Roman" w:cs="Times New Roman"/>
          <w:color w:val="4A4A4A"/>
          <w:sz w:val="21"/>
          <w:szCs w:val="21"/>
          <w:lang w:val="en-US" w:eastAsia="en-GB"/>
        </w:rPr>
        <w:t xml:space="preserve"> (United Nations Environment </w:t>
      </w:r>
      <w:proofErr w:type="spellStart"/>
      <w:r w:rsidR="00042C85" w:rsidRPr="004B3091">
        <w:rPr>
          <w:rFonts w:eastAsia="Times New Roman" w:cs="Times New Roman"/>
          <w:color w:val="4A4A4A"/>
          <w:sz w:val="21"/>
          <w:szCs w:val="21"/>
          <w:lang w:val="en-US" w:eastAsia="en-GB"/>
        </w:rPr>
        <w:t>Programme</w:t>
      </w:r>
      <w:proofErr w:type="spellEnd"/>
      <w:r w:rsidR="002D2DB4">
        <w:rPr>
          <w:rFonts w:eastAsia="Times New Roman" w:cs="Times New Roman"/>
          <w:color w:val="4A4A4A"/>
          <w:sz w:val="21"/>
          <w:szCs w:val="21"/>
          <w:lang w:val="en-US" w:eastAsia="en-GB"/>
        </w:rPr>
        <w:t xml:space="preserve"> an</w:t>
      </w:r>
      <w:r w:rsidR="00654844">
        <w:rPr>
          <w:rFonts w:eastAsia="Times New Roman" w:cs="Times New Roman"/>
          <w:color w:val="4A4A4A"/>
          <w:sz w:val="21"/>
          <w:szCs w:val="21"/>
          <w:lang w:val="en-US" w:eastAsia="en-GB"/>
        </w:rPr>
        <w:t xml:space="preserve">d the Secretariat of the </w:t>
      </w:r>
      <w:proofErr w:type="spellStart"/>
      <w:r w:rsidR="002D2DB4">
        <w:rPr>
          <w:rFonts w:eastAsia="Times New Roman" w:cs="Times New Roman"/>
          <w:color w:val="4A4A4A"/>
          <w:sz w:val="21"/>
          <w:szCs w:val="21"/>
          <w:lang w:val="en-US" w:eastAsia="en-GB"/>
        </w:rPr>
        <w:t>Ramsar</w:t>
      </w:r>
      <w:proofErr w:type="spellEnd"/>
      <w:r w:rsidR="00654844">
        <w:rPr>
          <w:rFonts w:eastAsia="Times New Roman" w:cs="Times New Roman"/>
          <w:color w:val="4A4A4A"/>
          <w:sz w:val="21"/>
          <w:szCs w:val="21"/>
          <w:lang w:val="en-US" w:eastAsia="en-GB"/>
        </w:rPr>
        <w:t xml:space="preserve"> Convention</w:t>
      </w:r>
    </w:p>
    <w:p w14:paraId="7D17DEDE" w14:textId="77777777" w:rsidR="0058556D" w:rsidRPr="004B3091" w:rsidRDefault="0058556D" w:rsidP="00573631">
      <w:pPr>
        <w:shd w:val="clear" w:color="auto" w:fill="FFFFFF"/>
        <w:spacing w:after="0"/>
        <w:rPr>
          <w:rFonts w:eastAsia="Times New Roman" w:cs="Times New Roman"/>
          <w:color w:val="4A4A4A"/>
          <w:sz w:val="21"/>
          <w:szCs w:val="21"/>
          <w:lang w:val="en-US" w:eastAsia="en-GB"/>
        </w:rPr>
      </w:pPr>
    </w:p>
    <w:p w14:paraId="17CDF605"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r w:rsidR="00D7166E">
        <w:rPr>
          <w:rFonts w:eastAsia="Times New Roman" w:cs="Times New Roman"/>
          <w:b/>
          <w:bCs/>
          <w:color w:val="4A4A4A"/>
          <w:sz w:val="21"/>
          <w:szCs w:val="21"/>
          <w:lang w:eastAsia="en-GB"/>
        </w:rPr>
        <w:t xml:space="preserve"> (for internal use only)</w:t>
      </w:r>
      <w:r w:rsidRPr="00573631">
        <w:rPr>
          <w:rFonts w:eastAsia="Times New Roman" w:cs="Times New Roman"/>
          <w:b/>
          <w:bCs/>
          <w:color w:val="4A4A4A"/>
          <w:sz w:val="21"/>
          <w:szCs w:val="21"/>
          <w:lang w:eastAsia="en-GB"/>
        </w:rPr>
        <w:t>:</w:t>
      </w:r>
    </w:p>
    <w:p w14:paraId="5363CB99" w14:textId="63C0CCCE" w:rsidR="00621893" w:rsidRPr="004B3091" w:rsidRDefault="002D2DB4" w:rsidP="00621893">
      <w:p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Stuart Crane</w:t>
      </w:r>
      <w:r w:rsidR="003D1D7B">
        <w:rPr>
          <w:rFonts w:eastAsia="Times New Roman" w:cs="Times New Roman"/>
          <w:color w:val="4A4A4A"/>
          <w:sz w:val="21"/>
          <w:szCs w:val="21"/>
          <w:lang w:val="en-US" w:eastAsia="en-GB"/>
        </w:rPr>
        <w:t xml:space="preserve"> and Jillian Campbell</w:t>
      </w:r>
    </w:p>
    <w:p w14:paraId="368685BF" w14:textId="77777777" w:rsidR="00AF1CD0" w:rsidRPr="004B3091" w:rsidRDefault="00AF1CD0" w:rsidP="00621893">
      <w:pPr>
        <w:shd w:val="clear" w:color="auto" w:fill="FFFFFF"/>
        <w:spacing w:after="0"/>
        <w:rPr>
          <w:rFonts w:eastAsia="Times New Roman" w:cs="Times New Roman"/>
          <w:color w:val="4A4A4A"/>
          <w:sz w:val="21"/>
          <w:szCs w:val="21"/>
          <w:lang w:val="en-US" w:eastAsia="en-GB"/>
        </w:rPr>
      </w:pPr>
    </w:p>
    <w:p w14:paraId="61C5D012"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7CCC1AA7" w14:textId="59A1EC48" w:rsidR="00621893" w:rsidRPr="001D3698" w:rsidRDefault="00B6660F" w:rsidP="00573631">
      <w:pPr>
        <w:shd w:val="clear" w:color="auto" w:fill="FFFFFF"/>
        <w:spacing w:after="0"/>
        <w:rPr>
          <w:rFonts w:eastAsia="Times New Roman" w:cs="Times New Roman"/>
          <w:color w:val="4A4A4A"/>
          <w:sz w:val="21"/>
          <w:szCs w:val="21"/>
          <w:lang w:val="en-US" w:eastAsia="en-GB"/>
        </w:rPr>
      </w:pPr>
      <w:hyperlink r:id="rId9" w:history="1">
        <w:r w:rsidR="002D2DB4" w:rsidRPr="00342EA6">
          <w:rPr>
            <w:rStyle w:val="Hyperlink"/>
            <w:rFonts w:eastAsia="Times New Roman" w:cs="Times New Roman"/>
            <w:sz w:val="21"/>
            <w:szCs w:val="21"/>
            <w:lang w:val="en-US" w:eastAsia="en-GB"/>
          </w:rPr>
          <w:t>stuart.crane@un.org</w:t>
        </w:r>
      </w:hyperlink>
      <w:r w:rsidR="003D1D7B">
        <w:rPr>
          <w:rStyle w:val="Hyperlink"/>
          <w:rFonts w:eastAsia="Times New Roman" w:cs="Times New Roman"/>
          <w:sz w:val="21"/>
          <w:szCs w:val="21"/>
          <w:lang w:val="en-US" w:eastAsia="en-GB"/>
        </w:rPr>
        <w:t>; campbell7@un.org</w:t>
      </w:r>
    </w:p>
    <w:bookmarkEnd w:id="1"/>
    <w:p w14:paraId="3D2769E3" w14:textId="77777777" w:rsidR="00621893" w:rsidRPr="001D3698" w:rsidRDefault="00621893" w:rsidP="00573631">
      <w:pPr>
        <w:shd w:val="clear" w:color="auto" w:fill="FFFFFF"/>
        <w:spacing w:after="0"/>
        <w:rPr>
          <w:rFonts w:eastAsia="Times New Roman" w:cs="Times New Roman"/>
          <w:color w:val="4A4A4A"/>
          <w:sz w:val="21"/>
          <w:szCs w:val="21"/>
          <w:lang w:val="en-US" w:eastAsia="en-GB"/>
        </w:rPr>
      </w:pPr>
    </w:p>
    <w:p w14:paraId="2C15EE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60703CB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4CD5914B" w14:textId="77777777"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Definition:</w:t>
      </w:r>
    </w:p>
    <w:p w14:paraId="1ED1CEDF" w14:textId="088BB043" w:rsidR="0027590C" w:rsidRDefault="00DE2EA3" w:rsidP="0027590C">
      <w:pPr>
        <w:shd w:val="clear" w:color="auto" w:fill="FFFFFF"/>
        <w:spacing w:after="0"/>
        <w:jc w:val="both"/>
        <w:rPr>
          <w:rFonts w:eastAsia="Times New Roman" w:cs="Times New Roman"/>
          <w:color w:val="4A4A4A"/>
          <w:sz w:val="21"/>
          <w:szCs w:val="21"/>
          <w:lang w:eastAsia="en-GB"/>
        </w:rPr>
      </w:pPr>
      <w:r w:rsidRPr="00DE2EA3">
        <w:rPr>
          <w:rFonts w:eastAsia="Times New Roman" w:cs="Times New Roman"/>
          <w:color w:val="4A4A4A"/>
          <w:sz w:val="21"/>
          <w:szCs w:val="21"/>
          <w:lang w:eastAsia="en-GB"/>
        </w:rPr>
        <w:t xml:space="preserve">The indicator </w:t>
      </w:r>
      <w:r w:rsidR="0027590C" w:rsidRPr="0027590C">
        <w:rPr>
          <w:rFonts w:eastAsia="Times New Roman" w:cs="Times New Roman"/>
          <w:color w:val="4A4A4A"/>
          <w:sz w:val="21"/>
          <w:szCs w:val="21"/>
          <w:lang w:eastAsia="en-GB"/>
        </w:rPr>
        <w:t xml:space="preserve">includes five categories: 1) vegetated wetlands, 2) rivers and estuaries, 3) lakes, 4) aquifers, and 5) artificial </w:t>
      </w:r>
      <w:proofErr w:type="spellStart"/>
      <w:r w:rsidR="0027590C" w:rsidRPr="0027590C">
        <w:rPr>
          <w:rFonts w:eastAsia="Times New Roman" w:cs="Times New Roman"/>
          <w:color w:val="4A4A4A"/>
          <w:sz w:val="21"/>
          <w:szCs w:val="21"/>
          <w:lang w:eastAsia="en-GB"/>
        </w:rPr>
        <w:t>waterbodies</w:t>
      </w:r>
      <w:proofErr w:type="spellEnd"/>
      <w:r w:rsidR="0027590C" w:rsidRPr="0027590C">
        <w:rPr>
          <w:rFonts w:eastAsia="Times New Roman" w:cs="Times New Roman"/>
          <w:color w:val="4A4A4A"/>
          <w:sz w:val="21"/>
          <w:szCs w:val="21"/>
          <w:lang w:eastAsia="en-GB"/>
        </w:rPr>
        <w:t xml:space="preserve">. For purposes of this methodology, the text refers only to these five ecosystem category terminologies. To address its complexity, Indicator 6.6.1 has been divided into 5 Sub-Indicators to capture the </w:t>
      </w:r>
      <w:r w:rsidR="0027590C" w:rsidRPr="00B6660F">
        <w:rPr>
          <w:rFonts w:eastAsia="Times New Roman" w:cs="Times New Roman"/>
          <w:color w:val="4A4A4A"/>
          <w:sz w:val="21"/>
          <w:szCs w:val="21"/>
          <w:lang w:eastAsia="en-GB"/>
        </w:rPr>
        <w:t>various data sources and methodologies required for monitoring components of the Indicator. Data sources come from a combination of ground sampling and earth observations. Depending on the type of ecosystem and the type of extent being measured, the data collection methodology can also differ greatly. A progressive</w:t>
      </w:r>
      <w:r w:rsidR="0027590C" w:rsidRPr="0027590C">
        <w:rPr>
          <w:rFonts w:eastAsia="Times New Roman" w:cs="Times New Roman"/>
          <w:color w:val="4A4A4A"/>
          <w:sz w:val="21"/>
          <w:szCs w:val="21"/>
          <w:lang w:eastAsia="en-GB"/>
        </w:rPr>
        <w:t xml:space="preserve"> monitoring approach </w:t>
      </w:r>
      <w:r w:rsidR="0027590C">
        <w:rPr>
          <w:rFonts w:eastAsia="Times New Roman" w:cs="Times New Roman"/>
          <w:color w:val="4A4A4A"/>
          <w:sz w:val="21"/>
          <w:szCs w:val="21"/>
          <w:lang w:eastAsia="en-GB"/>
        </w:rPr>
        <w:t>with two levels is proposed:</w:t>
      </w:r>
    </w:p>
    <w:p w14:paraId="376E7CC5" w14:textId="77777777" w:rsidR="0027590C" w:rsidRPr="0027590C" w:rsidRDefault="0027590C" w:rsidP="0027590C">
      <w:pPr>
        <w:shd w:val="clear" w:color="auto" w:fill="FFFFFF"/>
        <w:spacing w:after="0"/>
        <w:jc w:val="both"/>
        <w:rPr>
          <w:rFonts w:eastAsia="Times New Roman" w:cs="Times New Roman"/>
          <w:color w:val="4A4A4A"/>
          <w:sz w:val="21"/>
          <w:szCs w:val="21"/>
          <w:lang w:eastAsia="en-GB"/>
        </w:rPr>
      </w:pPr>
    </w:p>
    <w:p w14:paraId="71FA1048" w14:textId="4D3D1262" w:rsidR="0027590C" w:rsidRPr="0027590C" w:rsidRDefault="0027590C" w:rsidP="0027590C">
      <w:pPr>
        <w:shd w:val="clear" w:color="auto" w:fill="FFFFFF"/>
        <w:spacing w:after="0"/>
        <w:jc w:val="both"/>
        <w:rPr>
          <w:rFonts w:eastAsia="Times New Roman" w:cs="Times New Roman"/>
          <w:color w:val="4A4A4A"/>
          <w:sz w:val="21"/>
          <w:szCs w:val="21"/>
          <w:lang w:eastAsia="en-GB"/>
        </w:rPr>
      </w:pPr>
      <w:r w:rsidRPr="0027590C">
        <w:rPr>
          <w:rFonts w:eastAsia="Times New Roman" w:cs="Times New Roman"/>
          <w:color w:val="4A4A4A"/>
          <w:sz w:val="21"/>
          <w:szCs w:val="21"/>
          <w:lang w:eastAsia="en-GB"/>
        </w:rPr>
        <w:t>Level 1</w:t>
      </w:r>
      <w:r>
        <w:rPr>
          <w:rFonts w:eastAsia="Times New Roman" w:cs="Times New Roman"/>
          <w:color w:val="4A4A4A"/>
          <w:sz w:val="21"/>
          <w:szCs w:val="21"/>
          <w:lang w:eastAsia="en-GB"/>
        </w:rPr>
        <w:t>:</w:t>
      </w:r>
      <w:r w:rsidRPr="0027590C">
        <w:rPr>
          <w:rFonts w:eastAsia="Times New Roman" w:cs="Times New Roman"/>
          <w:color w:val="4A4A4A"/>
          <w:sz w:val="21"/>
          <w:szCs w:val="21"/>
          <w:lang w:eastAsia="en-GB"/>
        </w:rPr>
        <w:t xml:space="preserve"> 2 Sub-Indicators based on globally available data from earth </w:t>
      </w:r>
      <w:proofErr w:type="gramStart"/>
      <w:r w:rsidRPr="0027590C">
        <w:rPr>
          <w:rFonts w:eastAsia="Times New Roman" w:cs="Times New Roman"/>
          <w:color w:val="4A4A4A"/>
          <w:sz w:val="21"/>
          <w:szCs w:val="21"/>
          <w:lang w:eastAsia="en-GB"/>
        </w:rPr>
        <w:t>observations which</w:t>
      </w:r>
      <w:proofErr w:type="gramEnd"/>
      <w:r w:rsidRPr="0027590C">
        <w:rPr>
          <w:rFonts w:eastAsia="Times New Roman" w:cs="Times New Roman"/>
          <w:color w:val="4A4A4A"/>
          <w:sz w:val="21"/>
          <w:szCs w:val="21"/>
          <w:lang w:eastAsia="en-GB"/>
        </w:rPr>
        <w:t xml:space="preserve"> will be validated by countries against their own methodologies and datasets: </w:t>
      </w:r>
    </w:p>
    <w:p w14:paraId="214FA11B" w14:textId="77777777" w:rsidR="0027590C" w:rsidRPr="0027590C" w:rsidRDefault="0027590C" w:rsidP="0027590C">
      <w:pPr>
        <w:shd w:val="clear" w:color="auto" w:fill="FFFFFF"/>
        <w:spacing w:after="0"/>
        <w:jc w:val="both"/>
        <w:rPr>
          <w:rFonts w:eastAsia="Times New Roman" w:cs="Times New Roman"/>
          <w:color w:val="4A4A4A"/>
          <w:sz w:val="21"/>
          <w:szCs w:val="21"/>
          <w:lang w:eastAsia="en-GB"/>
        </w:rPr>
      </w:pPr>
      <w:r w:rsidRPr="0027590C">
        <w:rPr>
          <w:rFonts w:eastAsia="Times New Roman" w:cs="Times New Roman"/>
          <w:color w:val="4A4A4A"/>
          <w:sz w:val="21"/>
          <w:szCs w:val="21"/>
          <w:lang w:eastAsia="en-GB"/>
        </w:rPr>
        <w:t>•</w:t>
      </w:r>
      <w:r w:rsidRPr="0027590C">
        <w:rPr>
          <w:rFonts w:eastAsia="Times New Roman" w:cs="Times New Roman"/>
          <w:color w:val="4A4A4A"/>
          <w:sz w:val="21"/>
          <w:szCs w:val="21"/>
          <w:lang w:eastAsia="en-GB"/>
        </w:rPr>
        <w:tab/>
        <w:t xml:space="preserve">Sub-Indicator 1 – spatial extent of water-related ecosystems </w:t>
      </w:r>
    </w:p>
    <w:p w14:paraId="06E44188" w14:textId="34B945D7" w:rsidR="0027590C" w:rsidRPr="0027590C" w:rsidRDefault="0027590C" w:rsidP="0027590C">
      <w:pPr>
        <w:shd w:val="clear" w:color="auto" w:fill="FFFFFF"/>
        <w:spacing w:after="0"/>
        <w:jc w:val="both"/>
        <w:rPr>
          <w:rFonts w:eastAsia="Times New Roman" w:cs="Times New Roman"/>
          <w:color w:val="4A4A4A"/>
          <w:sz w:val="21"/>
          <w:szCs w:val="21"/>
          <w:lang w:eastAsia="en-GB"/>
        </w:rPr>
      </w:pPr>
      <w:r w:rsidRPr="0027590C">
        <w:rPr>
          <w:rFonts w:eastAsia="Times New Roman" w:cs="Times New Roman"/>
          <w:color w:val="4A4A4A"/>
          <w:sz w:val="21"/>
          <w:szCs w:val="21"/>
          <w:lang w:eastAsia="en-GB"/>
        </w:rPr>
        <w:t>•</w:t>
      </w:r>
      <w:r w:rsidRPr="0027590C">
        <w:rPr>
          <w:rFonts w:eastAsia="Times New Roman" w:cs="Times New Roman"/>
          <w:color w:val="4A4A4A"/>
          <w:sz w:val="21"/>
          <w:szCs w:val="21"/>
          <w:lang w:eastAsia="en-GB"/>
        </w:rPr>
        <w:tab/>
        <w:t>Sub-Indicator 2 – water quality of lakes</w:t>
      </w:r>
      <w:r w:rsidR="00654844">
        <w:rPr>
          <w:rFonts w:eastAsia="Times New Roman" w:cs="Times New Roman"/>
          <w:color w:val="4A4A4A"/>
          <w:sz w:val="21"/>
          <w:szCs w:val="21"/>
          <w:lang w:eastAsia="en-GB"/>
        </w:rPr>
        <w:t xml:space="preserve"> and artificial water bodies</w:t>
      </w:r>
    </w:p>
    <w:p w14:paraId="4E41BB89" w14:textId="0B9C89C8" w:rsidR="0027590C" w:rsidRPr="0027590C" w:rsidRDefault="0027590C" w:rsidP="0027590C">
      <w:pPr>
        <w:shd w:val="clear" w:color="auto" w:fill="FFFFFF"/>
        <w:spacing w:after="0"/>
        <w:jc w:val="both"/>
        <w:rPr>
          <w:rFonts w:eastAsia="Times New Roman" w:cs="Times New Roman"/>
          <w:color w:val="4A4A4A"/>
          <w:sz w:val="21"/>
          <w:szCs w:val="21"/>
          <w:lang w:eastAsia="en-GB"/>
        </w:rPr>
      </w:pPr>
      <w:r w:rsidRPr="0027590C">
        <w:rPr>
          <w:rFonts w:eastAsia="Times New Roman" w:cs="Times New Roman"/>
          <w:color w:val="4A4A4A"/>
          <w:sz w:val="21"/>
          <w:szCs w:val="21"/>
          <w:lang w:eastAsia="en-GB"/>
        </w:rPr>
        <w:t>Level 2</w:t>
      </w:r>
      <w:r>
        <w:rPr>
          <w:rFonts w:eastAsia="Times New Roman" w:cs="Times New Roman"/>
          <w:color w:val="4A4A4A"/>
          <w:sz w:val="21"/>
          <w:szCs w:val="21"/>
          <w:lang w:eastAsia="en-GB"/>
        </w:rPr>
        <w:t xml:space="preserve">: Data </w:t>
      </w:r>
      <w:r w:rsidRPr="0027590C">
        <w:rPr>
          <w:rFonts w:eastAsia="Times New Roman" w:cs="Times New Roman"/>
          <w:color w:val="4A4A4A"/>
          <w:sz w:val="21"/>
          <w:szCs w:val="21"/>
          <w:lang w:eastAsia="en-GB"/>
        </w:rPr>
        <w:t>collected by countries through 3 Sub-Indicators:</w:t>
      </w:r>
    </w:p>
    <w:p w14:paraId="4AC45F4B" w14:textId="77777777" w:rsidR="0027590C" w:rsidRPr="0027590C" w:rsidRDefault="0027590C" w:rsidP="0027590C">
      <w:pPr>
        <w:shd w:val="clear" w:color="auto" w:fill="FFFFFF"/>
        <w:spacing w:after="0"/>
        <w:jc w:val="both"/>
        <w:rPr>
          <w:rFonts w:eastAsia="Times New Roman" w:cs="Times New Roman"/>
          <w:color w:val="4A4A4A"/>
          <w:sz w:val="21"/>
          <w:szCs w:val="21"/>
          <w:lang w:eastAsia="en-GB"/>
        </w:rPr>
      </w:pPr>
      <w:r w:rsidRPr="0027590C">
        <w:rPr>
          <w:rFonts w:eastAsia="Times New Roman" w:cs="Times New Roman"/>
          <w:color w:val="4A4A4A"/>
          <w:sz w:val="21"/>
          <w:szCs w:val="21"/>
          <w:lang w:eastAsia="en-GB"/>
        </w:rPr>
        <w:t>•</w:t>
      </w:r>
      <w:r w:rsidRPr="0027590C">
        <w:rPr>
          <w:rFonts w:eastAsia="Times New Roman" w:cs="Times New Roman"/>
          <w:color w:val="4A4A4A"/>
          <w:sz w:val="21"/>
          <w:szCs w:val="21"/>
          <w:lang w:eastAsia="en-GB"/>
        </w:rPr>
        <w:tab/>
        <w:t>Sub-Indicator 3 – quantity of water (discharge) in rivers and estuaries</w:t>
      </w:r>
    </w:p>
    <w:p w14:paraId="6A88A8FE" w14:textId="77777777" w:rsidR="0027590C" w:rsidRPr="0027590C" w:rsidRDefault="0027590C" w:rsidP="0027590C">
      <w:pPr>
        <w:shd w:val="clear" w:color="auto" w:fill="FFFFFF"/>
        <w:spacing w:after="0"/>
        <w:jc w:val="both"/>
        <w:rPr>
          <w:rFonts w:eastAsia="Times New Roman" w:cs="Times New Roman"/>
          <w:color w:val="4A4A4A"/>
          <w:sz w:val="21"/>
          <w:szCs w:val="21"/>
          <w:lang w:eastAsia="en-GB"/>
        </w:rPr>
      </w:pPr>
      <w:r w:rsidRPr="0027590C">
        <w:rPr>
          <w:rFonts w:eastAsia="Times New Roman" w:cs="Times New Roman"/>
          <w:color w:val="4A4A4A"/>
          <w:sz w:val="21"/>
          <w:szCs w:val="21"/>
          <w:lang w:eastAsia="en-GB"/>
        </w:rPr>
        <w:t>•</w:t>
      </w:r>
      <w:r w:rsidRPr="0027590C">
        <w:rPr>
          <w:rFonts w:eastAsia="Times New Roman" w:cs="Times New Roman"/>
          <w:color w:val="4A4A4A"/>
          <w:sz w:val="21"/>
          <w:szCs w:val="21"/>
          <w:lang w:eastAsia="en-GB"/>
        </w:rPr>
        <w:tab/>
        <w:t xml:space="preserve">Sub-Indicator 4 – water quality imported from SDG Indicator 6.3.2 </w:t>
      </w:r>
    </w:p>
    <w:p w14:paraId="63D76D6A" w14:textId="17C815EE" w:rsidR="0027590C" w:rsidRDefault="0027590C" w:rsidP="0027590C">
      <w:pPr>
        <w:shd w:val="clear" w:color="auto" w:fill="FFFFFF"/>
        <w:spacing w:after="0"/>
        <w:jc w:val="both"/>
        <w:rPr>
          <w:rFonts w:eastAsia="Times New Roman" w:cs="Times New Roman"/>
          <w:color w:val="4A4A4A"/>
          <w:sz w:val="21"/>
          <w:szCs w:val="21"/>
          <w:lang w:eastAsia="en-GB"/>
        </w:rPr>
      </w:pPr>
      <w:r w:rsidRPr="0027590C">
        <w:rPr>
          <w:rFonts w:eastAsia="Times New Roman" w:cs="Times New Roman"/>
          <w:color w:val="4A4A4A"/>
          <w:sz w:val="21"/>
          <w:szCs w:val="21"/>
          <w:lang w:eastAsia="en-GB"/>
        </w:rPr>
        <w:t>•</w:t>
      </w:r>
      <w:r w:rsidRPr="0027590C">
        <w:rPr>
          <w:rFonts w:eastAsia="Times New Roman" w:cs="Times New Roman"/>
          <w:color w:val="4A4A4A"/>
          <w:sz w:val="21"/>
          <w:szCs w:val="21"/>
          <w:lang w:eastAsia="en-GB"/>
        </w:rPr>
        <w:tab/>
        <w:t>Sub-Indicator 5 – quantity of groundwater within aquifers</w:t>
      </w:r>
    </w:p>
    <w:p w14:paraId="54EF76B5" w14:textId="01A9D02E" w:rsidR="0027590C" w:rsidRDefault="0027590C" w:rsidP="008C4056">
      <w:pPr>
        <w:shd w:val="clear" w:color="auto" w:fill="FFFFFF"/>
        <w:spacing w:after="0"/>
        <w:jc w:val="both"/>
        <w:rPr>
          <w:rFonts w:eastAsia="Times New Roman" w:cs="Times New Roman"/>
          <w:color w:val="4A4A4A"/>
          <w:sz w:val="21"/>
          <w:szCs w:val="21"/>
          <w:lang w:eastAsia="en-GB"/>
        </w:rPr>
      </w:pPr>
    </w:p>
    <w:p w14:paraId="73B1DCC4" w14:textId="7E5CF33C" w:rsidR="0027590C" w:rsidRDefault="0027590C" w:rsidP="008C4056">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A full methodology for this indicator is available in the document entitled, “</w:t>
      </w:r>
      <w:r w:rsidRPr="0027590C">
        <w:rPr>
          <w:rFonts w:eastAsia="Times New Roman" w:cs="Times New Roman"/>
          <w:color w:val="4A4A4A"/>
          <w:sz w:val="21"/>
          <w:szCs w:val="21"/>
          <w:lang w:eastAsia="en-GB"/>
        </w:rPr>
        <w:t>M</w:t>
      </w:r>
      <w:r>
        <w:rPr>
          <w:rFonts w:eastAsia="Times New Roman" w:cs="Times New Roman"/>
          <w:color w:val="4A4A4A"/>
          <w:sz w:val="21"/>
          <w:szCs w:val="21"/>
          <w:lang w:eastAsia="en-GB"/>
        </w:rPr>
        <w:t>onitoring</w:t>
      </w:r>
      <w:r w:rsidRPr="0027590C">
        <w:rPr>
          <w:rFonts w:eastAsia="Times New Roman" w:cs="Times New Roman"/>
          <w:color w:val="4A4A4A"/>
          <w:sz w:val="21"/>
          <w:szCs w:val="21"/>
          <w:lang w:eastAsia="en-GB"/>
        </w:rPr>
        <w:t xml:space="preserve"> M</w:t>
      </w:r>
      <w:r>
        <w:rPr>
          <w:rFonts w:eastAsia="Times New Roman" w:cs="Times New Roman"/>
          <w:color w:val="4A4A4A"/>
          <w:sz w:val="21"/>
          <w:szCs w:val="21"/>
          <w:lang w:eastAsia="en-GB"/>
        </w:rPr>
        <w:t xml:space="preserve">ethodology for SDG Indicator </w:t>
      </w:r>
      <w:r w:rsidRPr="0027590C">
        <w:rPr>
          <w:rFonts w:eastAsia="Times New Roman" w:cs="Times New Roman"/>
          <w:color w:val="4A4A4A"/>
          <w:sz w:val="21"/>
          <w:szCs w:val="21"/>
          <w:lang w:eastAsia="en-GB"/>
        </w:rPr>
        <w:t>6.6.1</w:t>
      </w:r>
      <w:r>
        <w:rPr>
          <w:rFonts w:eastAsia="Times New Roman" w:cs="Times New Roman"/>
          <w:color w:val="4A4A4A"/>
          <w:sz w:val="21"/>
          <w:szCs w:val="21"/>
          <w:lang w:eastAsia="en-GB"/>
        </w:rPr>
        <w:t>”.</w:t>
      </w:r>
    </w:p>
    <w:p w14:paraId="7CAF16FE" w14:textId="77777777" w:rsidR="0027590C" w:rsidRPr="00573631" w:rsidRDefault="0027590C" w:rsidP="008C4056">
      <w:pPr>
        <w:shd w:val="clear" w:color="auto" w:fill="FFFFFF"/>
        <w:spacing w:after="0"/>
        <w:jc w:val="both"/>
        <w:rPr>
          <w:rFonts w:eastAsia="Times New Roman" w:cs="Times New Roman"/>
          <w:color w:val="4A4A4A"/>
          <w:sz w:val="21"/>
          <w:szCs w:val="21"/>
          <w:lang w:eastAsia="en-GB"/>
        </w:rPr>
      </w:pPr>
    </w:p>
    <w:p w14:paraId="1545202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0FE61465" w14:textId="77777777" w:rsidR="006C3248" w:rsidRDefault="006C3248" w:rsidP="00573631">
      <w:pPr>
        <w:shd w:val="clear" w:color="auto" w:fill="FFFFFF"/>
        <w:spacing w:after="0"/>
        <w:rPr>
          <w:rFonts w:eastAsia="Times New Roman" w:cs="Times New Roman"/>
          <w:color w:val="4A4A4A"/>
          <w:sz w:val="18"/>
          <w:szCs w:val="21"/>
          <w:lang w:eastAsia="en-GB"/>
        </w:rPr>
      </w:pPr>
    </w:p>
    <w:p w14:paraId="1A3037F2" w14:textId="298C64A3" w:rsidR="0058556D" w:rsidRDefault="0027590C" w:rsidP="0027590C">
      <w:pPr>
        <w:shd w:val="clear" w:color="auto" w:fill="FFFFFF"/>
        <w:spacing w:after="0"/>
        <w:rPr>
          <w:rFonts w:eastAsia="Times New Roman" w:cs="Times New Roman"/>
          <w:color w:val="4A4A4A"/>
          <w:sz w:val="21"/>
          <w:szCs w:val="21"/>
          <w:lang w:eastAsia="en-GB"/>
        </w:rPr>
      </w:pPr>
      <w:r w:rsidRPr="0027590C">
        <w:rPr>
          <w:rFonts w:eastAsia="Times New Roman" w:cs="Times New Roman"/>
          <w:color w:val="4A4A4A"/>
          <w:sz w:val="21"/>
          <w:szCs w:val="21"/>
          <w:lang w:eastAsia="en-GB"/>
        </w:rPr>
        <w:t xml:space="preserve">Target 6.6 aims to “protect and restore water-related ecosystems, including mountains, forests, wetlands, rivers, aquifers and lakes” through Indicator 6.6.1 which aims to understand how and why </w:t>
      </w:r>
      <w:r w:rsidRPr="0027590C">
        <w:rPr>
          <w:rFonts w:eastAsia="Times New Roman" w:cs="Times New Roman"/>
          <w:color w:val="4A4A4A"/>
          <w:sz w:val="21"/>
          <w:szCs w:val="21"/>
          <w:lang w:eastAsia="en-GB"/>
        </w:rPr>
        <w:lastRenderedPageBreak/>
        <w:t>these ecosystems are changing in extent over time</w:t>
      </w:r>
      <w:r w:rsidR="006727EE">
        <w:rPr>
          <w:rFonts w:eastAsia="Times New Roman" w:cs="Times New Roman"/>
          <w:color w:val="4A4A4A"/>
          <w:sz w:val="21"/>
          <w:szCs w:val="21"/>
          <w:lang w:eastAsia="en-GB"/>
        </w:rPr>
        <w:t xml:space="preserve">. </w:t>
      </w:r>
      <w:r w:rsidRPr="0027590C">
        <w:rPr>
          <w:rFonts w:eastAsia="Times New Roman" w:cs="Times New Roman"/>
          <w:color w:val="4A4A4A"/>
          <w:sz w:val="21"/>
          <w:szCs w:val="21"/>
          <w:lang w:eastAsia="en-GB"/>
        </w:rPr>
        <w:t xml:space="preserve">All of the different components of Indicator 6.6.1 are important to form a comprehensive picture that enables informed decisions towards the protection and restoration of water-related ecosystems. However, </w:t>
      </w:r>
      <w:r w:rsidR="006727EE">
        <w:rPr>
          <w:rFonts w:eastAsia="Times New Roman" w:cs="Times New Roman"/>
          <w:color w:val="4A4A4A"/>
          <w:sz w:val="21"/>
          <w:szCs w:val="21"/>
          <w:lang w:eastAsia="en-GB"/>
        </w:rPr>
        <w:t>a</w:t>
      </w:r>
      <w:r w:rsidRPr="0027590C">
        <w:rPr>
          <w:rFonts w:eastAsia="Times New Roman" w:cs="Times New Roman"/>
          <w:color w:val="4A4A4A"/>
          <w:sz w:val="21"/>
          <w:szCs w:val="21"/>
          <w:lang w:eastAsia="en-GB"/>
        </w:rPr>
        <w:t xml:space="preserve"> lack of data within countries to support Indicator 6.6.1 has become clear through the 2017 pilot testing</w:t>
      </w:r>
      <w:r w:rsidR="006727EE">
        <w:rPr>
          <w:rFonts w:eastAsia="Times New Roman" w:cs="Times New Roman"/>
          <w:color w:val="4A4A4A"/>
          <w:sz w:val="21"/>
          <w:szCs w:val="21"/>
          <w:lang w:eastAsia="en-GB"/>
        </w:rPr>
        <w:t xml:space="preserve"> and thus a combination of national data and data based on satellite images is proposed. All </w:t>
      </w:r>
      <w:r w:rsidRPr="0027590C">
        <w:rPr>
          <w:rFonts w:eastAsia="Times New Roman" w:cs="Times New Roman"/>
          <w:color w:val="4A4A4A"/>
          <w:sz w:val="21"/>
          <w:szCs w:val="21"/>
          <w:lang w:eastAsia="en-GB"/>
        </w:rPr>
        <w:t xml:space="preserve">data generated </w:t>
      </w:r>
      <w:r w:rsidR="006727EE">
        <w:rPr>
          <w:rFonts w:eastAsia="Times New Roman" w:cs="Times New Roman"/>
          <w:color w:val="4A4A4A"/>
          <w:sz w:val="21"/>
          <w:szCs w:val="21"/>
          <w:lang w:eastAsia="en-GB"/>
        </w:rPr>
        <w:t>is</w:t>
      </w:r>
      <w:r w:rsidRPr="0027590C">
        <w:rPr>
          <w:rFonts w:eastAsia="Times New Roman" w:cs="Times New Roman"/>
          <w:color w:val="4A4A4A"/>
          <w:sz w:val="21"/>
          <w:szCs w:val="21"/>
          <w:lang w:eastAsia="en-GB"/>
        </w:rPr>
        <w:t xml:space="preserve"> processed using internationally recognized methodologies, resulting in high quality global datasets with extensive spatial and temporal scale.</w:t>
      </w:r>
    </w:p>
    <w:p w14:paraId="696134C6" w14:textId="77777777" w:rsidR="0027590C" w:rsidRPr="00573631" w:rsidRDefault="0027590C" w:rsidP="0027590C">
      <w:pPr>
        <w:shd w:val="clear" w:color="auto" w:fill="FFFFFF"/>
        <w:spacing w:after="0"/>
        <w:rPr>
          <w:rFonts w:eastAsia="Times New Roman" w:cs="Times New Roman"/>
          <w:color w:val="4A4A4A"/>
          <w:sz w:val="21"/>
          <w:szCs w:val="21"/>
          <w:lang w:eastAsia="en-GB"/>
        </w:rPr>
      </w:pPr>
    </w:p>
    <w:p w14:paraId="46DF0B7E"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Concepts:</w:t>
      </w:r>
    </w:p>
    <w:p w14:paraId="501BD0B3" w14:textId="68B9EC01" w:rsidR="00641EF0" w:rsidRPr="00B6660F" w:rsidRDefault="00641EF0" w:rsidP="00641EF0">
      <w:pPr>
        <w:rPr>
          <w:rFonts w:eastAsia="Times New Roman" w:cs="Times New Roman"/>
          <w:color w:val="4A4A4A"/>
          <w:sz w:val="21"/>
          <w:szCs w:val="21"/>
          <w:lang w:eastAsia="en-GB"/>
        </w:rPr>
      </w:pPr>
      <w:r w:rsidRPr="00B6660F">
        <w:rPr>
          <w:rFonts w:eastAsia="Times New Roman" w:cs="Times New Roman"/>
          <w:color w:val="4A4A4A"/>
          <w:sz w:val="21"/>
          <w:szCs w:val="21"/>
          <w:lang w:eastAsia="en-GB"/>
        </w:rPr>
        <w:t>The concepts and definitions used in the methodology have been based on existing international frameworks and glossaries unless where indicated otherwise below.</w:t>
      </w:r>
    </w:p>
    <w:p w14:paraId="3E9F86CF"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Water-related ecosystems – </w:t>
      </w:r>
      <w:bookmarkStart w:id="2" w:name="_Hlk507764451"/>
      <w:r w:rsidRPr="00B6660F">
        <w:rPr>
          <w:rFonts w:eastAsia="Times New Roman" w:cs="Times New Roman"/>
          <w:color w:val="4A4A4A"/>
          <w:sz w:val="21"/>
          <w:szCs w:val="21"/>
          <w:lang w:eastAsia="en-GB"/>
        </w:rPr>
        <w:t xml:space="preserve">includes five categories: 1) vegetated wetlands, 2) rivers and estuaries, 3) lakes, 4) aquifers, and 5) artificial </w:t>
      </w:r>
      <w:proofErr w:type="spellStart"/>
      <w:r w:rsidRPr="00B6660F">
        <w:rPr>
          <w:rFonts w:eastAsia="Times New Roman" w:cs="Times New Roman"/>
          <w:color w:val="4A4A4A"/>
          <w:sz w:val="21"/>
          <w:szCs w:val="21"/>
          <w:lang w:eastAsia="en-GB"/>
        </w:rPr>
        <w:t>waterbodies</w:t>
      </w:r>
      <w:proofErr w:type="spellEnd"/>
      <w:r w:rsidRPr="00B6660F">
        <w:rPr>
          <w:rFonts w:eastAsia="Times New Roman" w:cs="Times New Roman"/>
          <w:color w:val="4A4A4A"/>
          <w:sz w:val="21"/>
          <w:szCs w:val="21"/>
          <w:lang w:eastAsia="en-GB"/>
        </w:rPr>
        <w:t xml:space="preserve">. For purposes of this methodology, the text refers only to these five ecosystem category terminologies. The majority of water-related ecosystem types monitored in Indicator 6.6.1 contain freshwater, with the exception of mangroves and </w:t>
      </w:r>
      <w:proofErr w:type="gramStart"/>
      <w:r w:rsidRPr="00B6660F">
        <w:rPr>
          <w:rFonts w:eastAsia="Times New Roman" w:cs="Times New Roman"/>
          <w:color w:val="4A4A4A"/>
          <w:sz w:val="21"/>
          <w:szCs w:val="21"/>
          <w:lang w:eastAsia="en-GB"/>
        </w:rPr>
        <w:t>estuaries which</w:t>
      </w:r>
      <w:proofErr w:type="gramEnd"/>
      <w:r w:rsidRPr="00B6660F">
        <w:rPr>
          <w:rFonts w:eastAsia="Times New Roman" w:cs="Times New Roman"/>
          <w:color w:val="4A4A4A"/>
          <w:sz w:val="21"/>
          <w:szCs w:val="21"/>
          <w:lang w:eastAsia="en-GB"/>
        </w:rPr>
        <w:t xml:space="preserve"> contain brackish waters and are included in Indicator 6.6.1. Ecosystems containing or within salt waters are not included as these are covered within other SDG indicators (Goal 14). Other categories of wetlands aligning with the </w:t>
      </w:r>
      <w:proofErr w:type="spellStart"/>
      <w:r w:rsidRPr="00B6660F">
        <w:rPr>
          <w:rFonts w:eastAsia="Times New Roman" w:cs="Times New Roman"/>
          <w:color w:val="4A4A4A"/>
          <w:sz w:val="21"/>
          <w:szCs w:val="21"/>
          <w:lang w:eastAsia="en-GB"/>
        </w:rPr>
        <w:t>Ramsar</w:t>
      </w:r>
      <w:proofErr w:type="spellEnd"/>
      <w:r w:rsidRPr="00B6660F">
        <w:rPr>
          <w:rFonts w:eastAsia="Times New Roman" w:cs="Times New Roman"/>
          <w:color w:val="4A4A4A"/>
          <w:sz w:val="21"/>
          <w:szCs w:val="21"/>
          <w:lang w:eastAsia="en-GB"/>
        </w:rPr>
        <w:t xml:space="preserve"> Convention definitions are captured within the ecosystem category of ‘vegetated wetlands’. </w:t>
      </w:r>
      <w:bookmarkEnd w:id="2"/>
    </w:p>
    <w:p w14:paraId="0903986E" w14:textId="0683E28C"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Vegetated Wetlands – the water-related ecosystem category of vegetated wetlands includes swamps, fens, </w:t>
      </w:r>
      <w:proofErr w:type="spellStart"/>
      <w:r w:rsidRPr="00B6660F">
        <w:rPr>
          <w:rFonts w:eastAsia="Times New Roman" w:cs="Times New Roman"/>
          <w:color w:val="4A4A4A"/>
          <w:sz w:val="21"/>
          <w:szCs w:val="21"/>
          <w:lang w:eastAsia="en-GB"/>
        </w:rPr>
        <w:t>peatlands</w:t>
      </w:r>
      <w:proofErr w:type="spellEnd"/>
      <w:r w:rsidRPr="00B6660F">
        <w:rPr>
          <w:rFonts w:eastAsia="Times New Roman" w:cs="Times New Roman"/>
          <w:color w:val="4A4A4A"/>
          <w:sz w:val="21"/>
          <w:szCs w:val="21"/>
          <w:lang w:eastAsia="en-GB"/>
        </w:rPr>
        <w:t xml:space="preserve">, marshes, paddies, and mangroves. This definition is closely related to the </w:t>
      </w:r>
      <w:proofErr w:type="spellStart"/>
      <w:r w:rsidRPr="00B6660F">
        <w:rPr>
          <w:rFonts w:eastAsia="Times New Roman" w:cs="Times New Roman"/>
          <w:color w:val="4A4A4A"/>
          <w:sz w:val="21"/>
          <w:szCs w:val="21"/>
          <w:lang w:eastAsia="en-GB"/>
        </w:rPr>
        <w:t>Ramsar</w:t>
      </w:r>
      <w:proofErr w:type="spellEnd"/>
      <w:r w:rsidRPr="00B6660F">
        <w:rPr>
          <w:rFonts w:eastAsia="Times New Roman" w:cs="Times New Roman"/>
          <w:color w:val="4A4A4A"/>
          <w:sz w:val="21"/>
          <w:szCs w:val="21"/>
          <w:lang w:eastAsia="en-GB"/>
        </w:rPr>
        <w:t xml:space="preserve"> Convention on Wetlands definition of wetlands, which is: “areas of marsh, fen, </w:t>
      </w:r>
      <w:proofErr w:type="spellStart"/>
      <w:r w:rsidRPr="00B6660F">
        <w:rPr>
          <w:rFonts w:eastAsia="Times New Roman" w:cs="Times New Roman"/>
          <w:color w:val="4A4A4A"/>
          <w:sz w:val="21"/>
          <w:szCs w:val="21"/>
          <w:lang w:eastAsia="en-GB"/>
        </w:rPr>
        <w:t>peatland</w:t>
      </w:r>
      <w:proofErr w:type="spellEnd"/>
      <w:r w:rsidRPr="00B6660F">
        <w:rPr>
          <w:rFonts w:eastAsia="Times New Roman" w:cs="Times New Roman"/>
          <w:color w:val="4A4A4A"/>
          <w:sz w:val="21"/>
          <w:szCs w:val="21"/>
          <w:lang w:eastAsia="en-GB"/>
        </w:rPr>
        <w:t xml:space="preserve"> or water, whether natural or artificial, permanent or temporary, with water that is static or flowing, fresh, brackish or salt, including areas of marine water the depth of which at low tide does not exceed six metres” with the exception that salt waters are not included in Indicator 6.6.1 reporting (as they are covered in SDG 14) and with the exception that vegetated wetlands are distinct from the other ecosystem categories of lakes, rivers and estuaries, aquifers, and artificial </w:t>
      </w:r>
      <w:proofErr w:type="spellStart"/>
      <w:r w:rsidRPr="00B6660F">
        <w:rPr>
          <w:rFonts w:eastAsia="Times New Roman" w:cs="Times New Roman"/>
          <w:color w:val="4A4A4A"/>
          <w:sz w:val="21"/>
          <w:szCs w:val="21"/>
          <w:lang w:eastAsia="en-GB"/>
        </w:rPr>
        <w:t>waterbodies</w:t>
      </w:r>
      <w:proofErr w:type="spellEnd"/>
      <w:r w:rsidRPr="00B6660F">
        <w:rPr>
          <w:rFonts w:eastAsia="Times New Roman" w:cs="Times New Roman"/>
          <w:color w:val="4A4A4A"/>
          <w:sz w:val="21"/>
          <w:szCs w:val="21"/>
          <w:lang w:eastAsia="en-GB"/>
        </w:rPr>
        <w:t xml:space="preserve">. Vegetated wetlands have been separated as their own ecosystem category because </w:t>
      </w:r>
      <w:r w:rsidR="001D2C8C" w:rsidRPr="00B6660F">
        <w:rPr>
          <w:rFonts w:eastAsia="Times New Roman" w:cs="Times New Roman"/>
          <w:color w:val="4A4A4A"/>
          <w:sz w:val="21"/>
          <w:szCs w:val="21"/>
          <w:lang w:eastAsia="en-GB"/>
        </w:rPr>
        <w:t xml:space="preserve">of their importance for target achievement and because </w:t>
      </w:r>
      <w:r w:rsidRPr="00B6660F">
        <w:rPr>
          <w:rFonts w:eastAsia="Times New Roman" w:cs="Times New Roman"/>
          <w:color w:val="4A4A4A"/>
          <w:sz w:val="21"/>
          <w:szCs w:val="21"/>
          <w:lang w:eastAsia="en-GB"/>
        </w:rPr>
        <w:t xml:space="preserve">the methodology for monitoring them with earth observations is unique from other open waters. The data generated by applying this methodology will also generate data required by countries to report to the </w:t>
      </w:r>
      <w:proofErr w:type="spellStart"/>
      <w:r w:rsidRPr="00B6660F">
        <w:rPr>
          <w:rFonts w:eastAsia="Times New Roman" w:cs="Times New Roman"/>
          <w:color w:val="4A4A4A"/>
          <w:sz w:val="21"/>
          <w:szCs w:val="21"/>
          <w:lang w:eastAsia="en-GB"/>
        </w:rPr>
        <w:t>Ramsar</w:t>
      </w:r>
      <w:proofErr w:type="spellEnd"/>
      <w:r w:rsidRPr="00B6660F">
        <w:rPr>
          <w:rFonts w:eastAsia="Times New Roman" w:cs="Times New Roman"/>
          <w:color w:val="4A4A4A"/>
          <w:sz w:val="21"/>
          <w:szCs w:val="21"/>
          <w:lang w:eastAsia="en-GB"/>
        </w:rPr>
        <w:t xml:space="preserve"> Convention on Wetlands.</w:t>
      </w:r>
    </w:p>
    <w:p w14:paraId="69FB76A5"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Artificial </w:t>
      </w:r>
      <w:proofErr w:type="spellStart"/>
      <w:r w:rsidRPr="00B6660F">
        <w:rPr>
          <w:rFonts w:eastAsia="Times New Roman" w:cs="Times New Roman"/>
          <w:color w:val="4A4A4A"/>
          <w:sz w:val="21"/>
          <w:szCs w:val="21"/>
          <w:lang w:eastAsia="en-GB"/>
        </w:rPr>
        <w:t>Waterbodies</w:t>
      </w:r>
      <w:proofErr w:type="spellEnd"/>
      <w:r w:rsidRPr="00B6660F">
        <w:rPr>
          <w:rFonts w:eastAsia="Times New Roman" w:cs="Times New Roman"/>
          <w:color w:val="4A4A4A"/>
          <w:sz w:val="21"/>
          <w:szCs w:val="21"/>
          <w:lang w:eastAsia="en-GB"/>
        </w:rPr>
        <w:t xml:space="preserve"> – the water-related ecosystem category of artificial </w:t>
      </w:r>
      <w:proofErr w:type="spellStart"/>
      <w:r w:rsidRPr="00B6660F">
        <w:rPr>
          <w:rFonts w:eastAsia="Times New Roman" w:cs="Times New Roman"/>
          <w:color w:val="4A4A4A"/>
          <w:sz w:val="21"/>
          <w:szCs w:val="21"/>
          <w:lang w:eastAsia="en-GB"/>
        </w:rPr>
        <w:t>waterbodies</w:t>
      </w:r>
      <w:proofErr w:type="spellEnd"/>
      <w:r w:rsidRPr="00B6660F">
        <w:rPr>
          <w:rFonts w:eastAsia="Times New Roman" w:cs="Times New Roman"/>
          <w:color w:val="4A4A4A"/>
          <w:sz w:val="21"/>
          <w:szCs w:val="21"/>
          <w:lang w:eastAsia="en-GB"/>
        </w:rPr>
        <w:t xml:space="preserve"> includes open </w:t>
      </w:r>
      <w:proofErr w:type="spellStart"/>
      <w:r w:rsidRPr="00B6660F">
        <w:rPr>
          <w:rFonts w:eastAsia="Times New Roman" w:cs="Times New Roman"/>
          <w:color w:val="4A4A4A"/>
          <w:sz w:val="21"/>
          <w:szCs w:val="21"/>
          <w:lang w:eastAsia="en-GB"/>
        </w:rPr>
        <w:t>waterbodies</w:t>
      </w:r>
      <w:proofErr w:type="spellEnd"/>
      <w:r w:rsidRPr="00B6660F">
        <w:rPr>
          <w:rFonts w:eastAsia="Times New Roman" w:cs="Times New Roman"/>
          <w:color w:val="4A4A4A"/>
          <w:sz w:val="21"/>
          <w:szCs w:val="21"/>
          <w:lang w:eastAsia="en-GB"/>
        </w:rPr>
        <w:t xml:space="preserve"> created by humans such as reservoirs, canals, </w:t>
      </w:r>
      <w:proofErr w:type="spellStart"/>
      <w:r w:rsidRPr="00B6660F">
        <w:rPr>
          <w:rFonts w:eastAsia="Times New Roman" w:cs="Times New Roman"/>
          <w:color w:val="4A4A4A"/>
          <w:sz w:val="21"/>
          <w:szCs w:val="21"/>
          <w:lang w:eastAsia="en-GB"/>
        </w:rPr>
        <w:t>harbors</w:t>
      </w:r>
      <w:proofErr w:type="spellEnd"/>
      <w:r w:rsidRPr="00B6660F">
        <w:rPr>
          <w:rFonts w:eastAsia="Times New Roman" w:cs="Times New Roman"/>
          <w:color w:val="4A4A4A"/>
          <w:sz w:val="21"/>
          <w:szCs w:val="21"/>
          <w:lang w:eastAsia="en-GB"/>
        </w:rPr>
        <w:t xml:space="preserve">, mines and quarries. While it is recognized that these are not traditional water </w:t>
      </w:r>
      <w:proofErr w:type="gramStart"/>
      <w:r w:rsidRPr="00B6660F">
        <w:rPr>
          <w:rFonts w:eastAsia="Times New Roman" w:cs="Times New Roman"/>
          <w:color w:val="4A4A4A"/>
          <w:sz w:val="21"/>
          <w:szCs w:val="21"/>
          <w:lang w:eastAsia="en-GB"/>
        </w:rPr>
        <w:t>ecosystems which</w:t>
      </w:r>
      <w:proofErr w:type="gramEnd"/>
      <w:r w:rsidRPr="00B6660F">
        <w:rPr>
          <w:rFonts w:eastAsia="Times New Roman" w:cs="Times New Roman"/>
          <w:color w:val="4A4A4A"/>
          <w:sz w:val="21"/>
          <w:szCs w:val="21"/>
          <w:lang w:eastAsia="en-GB"/>
        </w:rPr>
        <w:t xml:space="preserve"> should be protected and restored, in some countries they hold a noteworthy amount of freshwater and have thus been included.</w:t>
      </w:r>
    </w:p>
    <w:p w14:paraId="6F038B1B"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Open Water – as any area of surface water unobstructed by aquatic vegetation. This includes the following 3 water-related ecosystem categories: rivers and estuaries, lakes, and artificial </w:t>
      </w:r>
      <w:proofErr w:type="spellStart"/>
      <w:r w:rsidRPr="00B6660F">
        <w:rPr>
          <w:rFonts w:eastAsia="Times New Roman" w:cs="Times New Roman"/>
          <w:color w:val="4A4A4A"/>
          <w:sz w:val="21"/>
          <w:szCs w:val="21"/>
          <w:lang w:eastAsia="en-GB"/>
        </w:rPr>
        <w:t>waterbodies</w:t>
      </w:r>
      <w:proofErr w:type="spellEnd"/>
      <w:r w:rsidRPr="00B6660F">
        <w:rPr>
          <w:rFonts w:eastAsia="Times New Roman" w:cs="Times New Roman"/>
          <w:color w:val="4A4A4A"/>
          <w:sz w:val="21"/>
          <w:szCs w:val="21"/>
          <w:lang w:eastAsia="en-GB"/>
        </w:rPr>
        <w:t>.</w:t>
      </w:r>
    </w:p>
    <w:p w14:paraId="75FC6B9D"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Extent – has been expanded beyond spatial extent to capture additional basic parameters needed for the protection and restoration of water-related ecosystems. Extent includes three components: the spatial extent or surface area, the quality, and the quantity of water-related ecosystems. </w:t>
      </w:r>
    </w:p>
    <w:p w14:paraId="6FB959F2"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Change – a shift from one condition of extent to another over time within a water-related ecosystem, measured against a point of reference.</w:t>
      </w:r>
    </w:p>
    <w:p w14:paraId="35909D6C" w14:textId="77777777" w:rsidR="005606DD" w:rsidRPr="007F33BC" w:rsidRDefault="00803CF1" w:rsidP="0057363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624302FF" w14:textId="77777777" w:rsidR="005544B6" w:rsidRDefault="005544B6" w:rsidP="001F4954">
      <w:pPr>
        <w:shd w:val="clear" w:color="auto" w:fill="FFFFFF"/>
        <w:spacing w:after="0"/>
        <w:rPr>
          <w:rFonts w:eastAsia="Times New Roman" w:cs="Times New Roman"/>
          <w:color w:val="4A4A4A"/>
          <w:sz w:val="21"/>
          <w:szCs w:val="21"/>
          <w:lang w:eastAsia="en-GB"/>
        </w:rPr>
      </w:pPr>
    </w:p>
    <w:p w14:paraId="1A7B3A4D" w14:textId="2CFC959B" w:rsidR="0027590C" w:rsidRDefault="0027590C" w:rsidP="0027590C">
      <w:pPr>
        <w:shd w:val="clear" w:color="auto" w:fill="FFFFFF"/>
        <w:spacing w:after="0"/>
        <w:rPr>
          <w:rFonts w:eastAsia="Times New Roman" w:cs="Times New Roman"/>
          <w:color w:val="4A4A4A"/>
          <w:sz w:val="21"/>
          <w:szCs w:val="21"/>
          <w:lang w:eastAsia="en-GB"/>
        </w:rPr>
      </w:pPr>
      <w:r w:rsidRPr="0027590C">
        <w:rPr>
          <w:rFonts w:eastAsia="Times New Roman" w:cs="Times New Roman"/>
          <w:color w:val="4A4A4A"/>
          <w:sz w:val="21"/>
          <w:szCs w:val="21"/>
          <w:lang w:eastAsia="en-GB"/>
        </w:rPr>
        <w:t xml:space="preserve">This methodology mobilizes the collection of widely available earth observation data on spatial extent and some water quality </w:t>
      </w:r>
      <w:proofErr w:type="gramStart"/>
      <w:r w:rsidRPr="0027590C">
        <w:rPr>
          <w:rFonts w:eastAsia="Times New Roman" w:cs="Times New Roman"/>
          <w:color w:val="4A4A4A"/>
          <w:sz w:val="21"/>
          <w:szCs w:val="21"/>
          <w:lang w:eastAsia="en-GB"/>
        </w:rPr>
        <w:t>parameters which</w:t>
      </w:r>
      <w:proofErr w:type="gramEnd"/>
      <w:r w:rsidRPr="0027590C">
        <w:rPr>
          <w:rFonts w:eastAsia="Times New Roman" w:cs="Times New Roman"/>
          <w:color w:val="4A4A4A"/>
          <w:sz w:val="21"/>
          <w:szCs w:val="21"/>
          <w:lang w:eastAsia="en-GB"/>
        </w:rPr>
        <w:t xml:space="preserve"> will be validated by countries. The data itself in the form of images and numbers is straightforward to understand. However, the methodologies used to generate this data are technical in nature and some countries may wish understand these better. The methodology employs internationally recognized methods, from expert communities such as the Group on Earth Observation (GEO) and international space agencies, to derive statistically sound and the most technologically advanced earth observation datasets for Sub-Indicators 1 and 2. These organizations will also be engaged to provided tools and training to support countries. Sub-Indicator 2 only measures two water quality parameters, while it is recognized that to determine good water quality requires measuring multiple parameters. However, globally available data can indicate potential hot spots of pollution or human disturbance allowing countries to undertake more local assessments of water quality.</w:t>
      </w:r>
    </w:p>
    <w:p w14:paraId="710418D2" w14:textId="77777777" w:rsidR="0027590C" w:rsidRPr="0027590C" w:rsidRDefault="0027590C" w:rsidP="0027590C">
      <w:pPr>
        <w:shd w:val="clear" w:color="auto" w:fill="FFFFFF"/>
        <w:spacing w:after="0"/>
        <w:rPr>
          <w:rFonts w:eastAsia="Times New Roman" w:cs="Times New Roman"/>
          <w:color w:val="4A4A4A"/>
          <w:sz w:val="21"/>
          <w:szCs w:val="21"/>
          <w:lang w:eastAsia="en-GB"/>
        </w:rPr>
      </w:pPr>
    </w:p>
    <w:p w14:paraId="2E226326" w14:textId="4539355D" w:rsidR="001F4954" w:rsidRDefault="0027590C" w:rsidP="0027590C">
      <w:pPr>
        <w:shd w:val="clear" w:color="auto" w:fill="FFFFFF"/>
        <w:spacing w:after="0"/>
        <w:rPr>
          <w:rFonts w:eastAsia="Times New Roman" w:cs="Times New Roman"/>
          <w:color w:val="4A4A4A"/>
          <w:sz w:val="21"/>
          <w:szCs w:val="21"/>
          <w:lang w:eastAsia="en-GB"/>
        </w:rPr>
      </w:pPr>
      <w:r w:rsidRPr="0027590C">
        <w:rPr>
          <w:rFonts w:eastAsia="Times New Roman" w:cs="Times New Roman"/>
          <w:color w:val="4A4A4A"/>
          <w:sz w:val="21"/>
          <w:szCs w:val="21"/>
          <w:lang w:eastAsia="en-GB"/>
        </w:rPr>
        <w:t>The Indicator is designed in a way to generate data to allow informed decision making towards protecting and restoring water-related ecosystems. It does not measure how many water-related ecosystems have been protected and restored. It is assumed that countries would use the data to actively make decisions, but these actions are not currently being measured. The data generated should be considered alongside other data such as land use change to enable decision-makers to protect and restore water-related ecosystems.</w:t>
      </w:r>
    </w:p>
    <w:p w14:paraId="3EC0FB0A" w14:textId="77777777" w:rsidR="0027590C" w:rsidRPr="002D2DB4" w:rsidRDefault="0027590C" w:rsidP="0027590C">
      <w:pPr>
        <w:shd w:val="clear" w:color="auto" w:fill="FFFFFF"/>
        <w:spacing w:after="0"/>
        <w:rPr>
          <w:rFonts w:eastAsia="Times New Roman" w:cs="Times New Roman"/>
          <w:color w:val="4A4A4A"/>
          <w:sz w:val="21"/>
          <w:szCs w:val="21"/>
          <w:lang w:eastAsia="en-GB"/>
        </w:rPr>
      </w:pPr>
    </w:p>
    <w:p w14:paraId="25090CFF"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67444F40"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42A1486E" w14:textId="77777777" w:rsidR="0058556D" w:rsidRPr="00B6660F" w:rsidRDefault="0058556D" w:rsidP="00573631">
      <w:pPr>
        <w:shd w:val="clear" w:color="auto" w:fill="FFFFFF"/>
        <w:spacing w:after="0"/>
        <w:rPr>
          <w:rFonts w:eastAsia="Times New Roman" w:cs="Times New Roman"/>
          <w:b/>
          <w:color w:val="4A4A4A"/>
          <w:sz w:val="21"/>
          <w:szCs w:val="21"/>
          <w:lang w:eastAsia="en-GB"/>
        </w:rPr>
      </w:pPr>
      <w:r w:rsidRPr="00B6660F">
        <w:rPr>
          <w:rFonts w:eastAsia="Times New Roman" w:cs="Times New Roman"/>
          <w:b/>
          <w:color w:val="4A4A4A"/>
          <w:sz w:val="21"/>
          <w:szCs w:val="21"/>
          <w:lang w:eastAsia="en-GB"/>
        </w:rPr>
        <w:t>Computation Method:</w:t>
      </w:r>
    </w:p>
    <w:p w14:paraId="4059542C" w14:textId="77777777" w:rsidR="00246DC0" w:rsidRPr="00B6660F" w:rsidRDefault="00246DC0" w:rsidP="0076213D">
      <w:pPr>
        <w:shd w:val="clear" w:color="auto" w:fill="FFFFFF"/>
        <w:spacing w:after="0"/>
        <w:rPr>
          <w:rFonts w:eastAsia="Times New Roman" w:cs="Times New Roman"/>
          <w:color w:val="4A4A4A"/>
          <w:sz w:val="21"/>
          <w:szCs w:val="21"/>
          <w:lang w:eastAsia="en-GB"/>
        </w:rPr>
      </w:pPr>
    </w:p>
    <w:p w14:paraId="7842D04D"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The 5 Sub-Indicators are computed separately and thus Indicator 6.6.1 is comprised of 5 stand-alone methodologies. </w:t>
      </w:r>
    </w:p>
    <w:p w14:paraId="363E0618" w14:textId="77777777" w:rsidR="0027590C" w:rsidRPr="00B6660F" w:rsidRDefault="0027590C" w:rsidP="0027590C">
      <w:pPr>
        <w:jc w:val="both"/>
        <w:rPr>
          <w:rFonts w:eastAsia="Times New Roman" w:cs="Times New Roman"/>
          <w:b/>
          <w:color w:val="4A4A4A"/>
          <w:sz w:val="21"/>
          <w:szCs w:val="21"/>
          <w:lang w:eastAsia="en-GB"/>
        </w:rPr>
      </w:pPr>
      <w:r w:rsidRPr="00B6660F">
        <w:rPr>
          <w:rFonts w:eastAsia="Times New Roman" w:cs="Times New Roman"/>
          <w:b/>
          <w:color w:val="4A4A4A"/>
          <w:sz w:val="21"/>
          <w:szCs w:val="21"/>
          <w:lang w:eastAsia="en-GB"/>
        </w:rPr>
        <w:t>Sub-Indicator 1: Spatial Extent of Water-related Ecosystems</w:t>
      </w:r>
    </w:p>
    <w:p w14:paraId="047CA4C2"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The methodology for this Sub-Indicator describes how Earth observations are generated and processed into a global spatial extent of water-related ecosystems dataset. The basic premise of this approach is that different land covers, such as snow, bare rock, vegetation, and water, reflect different wavelengths of light. Satellites continually circulate our earth, capturing images and wavelengths reflected from every location on the globe. For any one location on earth, thousands of images can be combined to classify the site’s land cover. Advanced computing technology can be programmed to digest all of these images and split the earth into land cover type pixels, one of which is open water. Open water is defined as any area of surface water unobstructed by aquatic vegetation. Thus, changes in the spatial extent of open water locations over a long period of time can be discerned including new and lost </w:t>
      </w:r>
      <w:proofErr w:type="spellStart"/>
      <w:r w:rsidRPr="00B6660F">
        <w:rPr>
          <w:rFonts w:eastAsia="Times New Roman" w:cs="Times New Roman"/>
          <w:color w:val="4A4A4A"/>
          <w:sz w:val="21"/>
          <w:szCs w:val="21"/>
          <w:lang w:eastAsia="en-GB"/>
        </w:rPr>
        <w:t>waterbodies</w:t>
      </w:r>
      <w:proofErr w:type="spellEnd"/>
      <w:r w:rsidRPr="00B6660F">
        <w:rPr>
          <w:rFonts w:eastAsia="Times New Roman" w:cs="Times New Roman"/>
          <w:color w:val="4A4A4A"/>
          <w:sz w:val="21"/>
          <w:szCs w:val="21"/>
          <w:lang w:eastAsia="en-GB"/>
        </w:rPr>
        <w:t xml:space="preserve"> or seasonal changes. </w:t>
      </w:r>
    </w:p>
    <w:p w14:paraId="3CC95861"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To distinguish one water-related ecosystem type from another, further processing of this open water data is required in conjunction with other datasets. The data generated on open water is further distinguished into lakes, rivers and estuaries versus artificial </w:t>
      </w:r>
      <w:proofErr w:type="spellStart"/>
      <w:r w:rsidRPr="00B6660F">
        <w:rPr>
          <w:rFonts w:eastAsia="Times New Roman" w:cs="Times New Roman"/>
          <w:color w:val="4A4A4A"/>
          <w:sz w:val="21"/>
          <w:szCs w:val="21"/>
          <w:lang w:eastAsia="en-GB"/>
        </w:rPr>
        <w:t>waterbodies</w:t>
      </w:r>
      <w:proofErr w:type="spellEnd"/>
      <w:r w:rsidRPr="00B6660F">
        <w:rPr>
          <w:rFonts w:eastAsia="Times New Roman" w:cs="Times New Roman"/>
          <w:color w:val="4A4A4A"/>
          <w:sz w:val="21"/>
          <w:szCs w:val="21"/>
          <w:lang w:eastAsia="en-GB"/>
        </w:rPr>
        <w:t xml:space="preserve">. In addition, vegetated wetlands are discerned through further processing. The method to detect vegetated wetlands from Earth observations is based on an approach which detects the physical properties of wetland areas (e.g. soil moisture and vegetation water content) from multi-temporal SAR (Synthetic Aperture Radar) and optical satellite imagery, combined with other geospatial datasets related to the topography of the area, the </w:t>
      </w:r>
      <w:r w:rsidRPr="00B6660F">
        <w:rPr>
          <w:rFonts w:eastAsia="Times New Roman" w:cs="Times New Roman"/>
          <w:color w:val="4A4A4A"/>
          <w:sz w:val="21"/>
          <w:szCs w:val="21"/>
          <w:lang w:eastAsia="en-GB"/>
        </w:rPr>
        <w:lastRenderedPageBreak/>
        <w:t xml:space="preserve">hydrography of the watershed and its drainage network, and the soil types. The resulting datasets obtained from earth observations on the spatial extent of vegetated wetlands and artificial </w:t>
      </w:r>
      <w:proofErr w:type="spellStart"/>
      <w:r w:rsidRPr="00B6660F">
        <w:rPr>
          <w:rFonts w:eastAsia="Times New Roman" w:cs="Times New Roman"/>
          <w:color w:val="4A4A4A"/>
          <w:sz w:val="21"/>
          <w:szCs w:val="21"/>
          <w:lang w:eastAsia="en-GB"/>
        </w:rPr>
        <w:t>waterbodies</w:t>
      </w:r>
      <w:proofErr w:type="spellEnd"/>
      <w:r w:rsidRPr="00B6660F">
        <w:rPr>
          <w:rFonts w:eastAsia="Times New Roman" w:cs="Times New Roman"/>
          <w:color w:val="4A4A4A"/>
          <w:sz w:val="21"/>
          <w:szCs w:val="21"/>
          <w:lang w:eastAsia="en-GB"/>
        </w:rPr>
        <w:t xml:space="preserve"> are excluded from the calculation of spatial extent values for lakes, rivers and estuaries, to prevent duplication of spatial extent estimations. </w:t>
      </w:r>
    </w:p>
    <w:p w14:paraId="13505A08"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Thus, three global datasets are generated through this methodology annually: spatial extent of lakes, rivers, and estuaries; spatial extent of artificial </w:t>
      </w:r>
      <w:proofErr w:type="spellStart"/>
      <w:r w:rsidRPr="00B6660F">
        <w:rPr>
          <w:rFonts w:eastAsia="Times New Roman" w:cs="Times New Roman"/>
          <w:color w:val="4A4A4A"/>
          <w:sz w:val="21"/>
          <w:szCs w:val="21"/>
          <w:lang w:eastAsia="en-GB"/>
        </w:rPr>
        <w:t>waterbodies</w:t>
      </w:r>
      <w:proofErr w:type="spellEnd"/>
      <w:r w:rsidRPr="00B6660F">
        <w:rPr>
          <w:rFonts w:eastAsia="Times New Roman" w:cs="Times New Roman"/>
          <w:color w:val="4A4A4A"/>
          <w:sz w:val="21"/>
          <w:szCs w:val="21"/>
          <w:lang w:eastAsia="en-GB"/>
        </w:rPr>
        <w:t xml:space="preserve">; and spatial extent of vegetated wetlands. These national spatial extent datasets are provided to countries to validate. Once validated, the annual datasets are used to calculate percentage change of spatial extent over time, using a 2001-2005 baseline period. Subsequent </w:t>
      </w:r>
      <w:proofErr w:type="gramStart"/>
      <w:r w:rsidRPr="00B6660F">
        <w:rPr>
          <w:rFonts w:eastAsia="Times New Roman" w:cs="Times New Roman"/>
          <w:color w:val="4A4A4A"/>
          <w:sz w:val="21"/>
          <w:szCs w:val="21"/>
          <w:lang w:eastAsia="en-GB"/>
        </w:rPr>
        <w:t>five year</w:t>
      </w:r>
      <w:proofErr w:type="gramEnd"/>
      <w:r w:rsidRPr="00B6660F">
        <w:rPr>
          <w:rFonts w:eastAsia="Times New Roman" w:cs="Times New Roman"/>
          <w:color w:val="4A4A4A"/>
          <w:sz w:val="21"/>
          <w:szCs w:val="21"/>
          <w:lang w:eastAsia="en-GB"/>
        </w:rPr>
        <w:t xml:space="preserve"> averages are compared to this baseline.  </w:t>
      </w:r>
    </w:p>
    <w:tbl>
      <w:tblPr>
        <w:tblStyle w:val="TableGrid"/>
        <w:tblpPr w:leftFromText="180" w:rightFromText="180" w:vertAnchor="text" w:horzAnchor="page" w:tblpX="7194" w:tblpY="4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3"/>
      </w:tblGrid>
      <w:tr w:rsidR="0027590C" w:rsidRPr="00B6660F" w14:paraId="51364027" w14:textId="77777777" w:rsidTr="001D2C8C">
        <w:trPr>
          <w:trHeight w:val="1282"/>
        </w:trPr>
        <w:tc>
          <w:tcPr>
            <w:tcW w:w="4013" w:type="dxa"/>
          </w:tcPr>
          <w:p w14:paraId="0C9AA1C0" w14:textId="77777777" w:rsidR="0027590C" w:rsidRPr="00B6660F" w:rsidRDefault="0027590C" w:rsidP="0023574C">
            <w:pPr>
              <w:jc w:val="both"/>
              <w:rPr>
                <w:rFonts w:eastAsia="Times New Roman" w:cs="Times New Roman"/>
                <w:color w:val="4A4A4A"/>
                <w:sz w:val="21"/>
                <w:szCs w:val="21"/>
                <w:lang w:val="en-GB" w:eastAsia="en-GB"/>
              </w:rPr>
            </w:pPr>
            <w:proofErr w:type="gramStart"/>
            <w:r w:rsidRPr="00B6660F">
              <w:rPr>
                <w:rFonts w:eastAsia="Times New Roman" w:cs="Times New Roman"/>
                <w:color w:val="4A4A4A"/>
                <w:sz w:val="21"/>
                <w:szCs w:val="21"/>
                <w:lang w:val="en-GB" w:eastAsia="en-GB"/>
              </w:rPr>
              <w:t xml:space="preserve">Where </w:t>
            </w:r>
            <m:oMath>
              <m:r>
                <m:rPr>
                  <m:sty m:val="p"/>
                </m:rPr>
                <w:rPr>
                  <w:rFonts w:ascii="Cambria Math" w:eastAsia="Times New Roman" w:hAnsi="Cambria Math" w:cs="Times New Roman"/>
                  <w:color w:val="4A4A4A"/>
                  <w:sz w:val="21"/>
                  <w:szCs w:val="21"/>
                  <w:lang w:val="en-GB" w:eastAsia="en-GB"/>
                </w:rPr>
                <m:t xml:space="preserve"> β</m:t>
              </m:r>
              <w:proofErr w:type="gramEnd"/>
              <m:r>
                <m:rPr>
                  <m:sty m:val="p"/>
                </m:rPr>
                <w:rPr>
                  <w:rFonts w:ascii="Cambria Math" w:eastAsia="Times New Roman" w:hAnsi="Cambria Math" w:cs="Times New Roman"/>
                  <w:color w:val="4A4A4A"/>
                  <w:sz w:val="21"/>
                  <w:szCs w:val="21"/>
                  <w:lang w:val="en-GB" w:eastAsia="en-GB"/>
                </w:rPr>
                <m:t xml:space="preserve"> </m:t>
              </m:r>
            </m:oMath>
            <w:r w:rsidRPr="00B6660F">
              <w:rPr>
                <w:rFonts w:eastAsia="Times New Roman" w:cs="Times New Roman"/>
                <w:color w:val="4A4A4A"/>
                <w:sz w:val="21"/>
                <w:szCs w:val="21"/>
                <w:lang w:val="en-GB" w:eastAsia="en-GB"/>
              </w:rPr>
              <w:t xml:space="preserve">=  the average national spatial extent from 2001-2005 </w:t>
            </w:r>
          </w:p>
          <w:p w14:paraId="233C091C" w14:textId="77777777" w:rsidR="0027590C" w:rsidRPr="00B6660F" w:rsidRDefault="0027590C" w:rsidP="0023574C">
            <w:pPr>
              <w:jc w:val="both"/>
              <w:rPr>
                <w:rFonts w:eastAsia="Times New Roman" w:cs="Times New Roman"/>
                <w:color w:val="4A4A4A"/>
                <w:sz w:val="21"/>
                <w:szCs w:val="21"/>
                <w:lang w:val="en-GB" w:eastAsia="en-GB"/>
              </w:rPr>
            </w:pPr>
            <w:r w:rsidRPr="00B6660F">
              <w:rPr>
                <w:rFonts w:eastAsia="Times New Roman" w:cs="Times New Roman"/>
                <w:color w:val="4A4A4A"/>
                <w:sz w:val="21"/>
                <w:szCs w:val="21"/>
                <w:lang w:val="en-GB" w:eastAsia="en-GB"/>
              </w:rPr>
              <w:t xml:space="preserve">Where </w:t>
            </w:r>
            <m:oMath>
              <m:r>
                <m:rPr>
                  <m:sty m:val="p"/>
                </m:rPr>
                <w:rPr>
                  <w:rFonts w:ascii="Cambria Math" w:eastAsia="Times New Roman" w:hAnsi="Cambria Math" w:cs="Times New Roman"/>
                  <w:color w:val="4A4A4A"/>
                  <w:sz w:val="21"/>
                  <w:szCs w:val="21"/>
                  <w:lang w:val="en-GB" w:eastAsia="en-GB"/>
                </w:rPr>
                <m:t>γ</m:t>
              </m:r>
            </m:oMath>
            <w:r w:rsidRPr="00B6660F">
              <w:rPr>
                <w:rFonts w:eastAsia="Times New Roman" w:cs="Times New Roman"/>
                <w:color w:val="4A4A4A"/>
                <w:sz w:val="21"/>
                <w:szCs w:val="21"/>
                <w:lang w:val="en-GB" w:eastAsia="en-GB"/>
              </w:rPr>
              <w:t xml:space="preserve"> </w:t>
            </w:r>
            <w:proofErr w:type="gramStart"/>
            <w:r w:rsidRPr="00B6660F">
              <w:rPr>
                <w:rFonts w:eastAsia="Times New Roman" w:cs="Times New Roman"/>
                <w:color w:val="4A4A4A"/>
                <w:sz w:val="21"/>
                <w:szCs w:val="21"/>
                <w:lang w:val="en-GB" w:eastAsia="en-GB"/>
              </w:rPr>
              <w:t>=  the</w:t>
            </w:r>
            <w:proofErr w:type="gramEnd"/>
            <w:r w:rsidRPr="00B6660F">
              <w:rPr>
                <w:rFonts w:eastAsia="Times New Roman" w:cs="Times New Roman"/>
                <w:color w:val="4A4A4A"/>
                <w:sz w:val="21"/>
                <w:szCs w:val="21"/>
                <w:lang w:val="en-GB" w:eastAsia="en-GB"/>
              </w:rPr>
              <w:t xml:space="preserve"> average national spatial extent of any other 5 year period</w:t>
            </w:r>
          </w:p>
        </w:tc>
      </w:tr>
    </w:tbl>
    <w:p w14:paraId="2947EEDD" w14:textId="77777777" w:rsidR="0027590C" w:rsidRPr="00B6660F" w:rsidRDefault="0027590C" w:rsidP="0027590C">
      <w:pPr>
        <w:jc w:val="both"/>
        <w:rPr>
          <w:rFonts w:eastAsia="Times New Roman" w:cs="Times New Roman"/>
          <w:color w:val="4A4A4A"/>
          <w:sz w:val="21"/>
          <w:szCs w:val="21"/>
          <w:lang w:eastAsia="en-GB"/>
        </w:rPr>
      </w:pPr>
    </w:p>
    <w:p w14:paraId="47A34DD4" w14:textId="77777777" w:rsidR="0027590C" w:rsidRPr="00B6660F" w:rsidRDefault="0027590C" w:rsidP="0027590C">
      <w:pPr>
        <w:jc w:val="both"/>
        <w:rPr>
          <w:rFonts w:eastAsia="Times New Roman" w:cs="Times New Roman"/>
          <w:color w:val="4A4A4A"/>
          <w:sz w:val="21"/>
          <w:szCs w:val="21"/>
          <w:lang w:eastAsia="en-GB"/>
        </w:rPr>
      </w:pPr>
      <m:oMathPara>
        <m:oMathParaPr>
          <m:jc m:val="left"/>
        </m:oMathParaPr>
        <m:oMath>
          <m:r>
            <m:rPr>
              <m:sty m:val="p"/>
            </m:rPr>
            <w:rPr>
              <w:rFonts w:ascii="Cambria Math" w:eastAsia="Times New Roman" w:hAnsi="Cambria Math" w:cs="Times New Roman"/>
              <w:color w:val="4A4A4A"/>
              <w:sz w:val="21"/>
              <w:szCs w:val="21"/>
              <w:lang w:eastAsia="en-GB"/>
            </w:rPr>
            <m:t>Percentage Change in Spatial Extent=</m:t>
          </m:r>
          <m:f>
            <m:fPr>
              <m:ctrlPr>
                <w:rPr>
                  <w:rFonts w:ascii="Cambria Math" w:eastAsia="Times New Roman" w:hAnsi="Cambria Math" w:cs="Times New Roman"/>
                  <w:color w:val="4A4A4A"/>
                  <w:sz w:val="21"/>
                  <w:szCs w:val="21"/>
                  <w:lang w:eastAsia="en-GB"/>
                </w:rPr>
              </m:ctrlPr>
            </m:fPr>
            <m:num>
              <m:d>
                <m:dPr>
                  <m:ctrlPr>
                    <w:rPr>
                      <w:rFonts w:ascii="Cambria Math" w:eastAsia="Times New Roman" w:hAnsi="Cambria Math" w:cs="Times New Roman"/>
                      <w:color w:val="4A4A4A"/>
                      <w:sz w:val="21"/>
                      <w:szCs w:val="21"/>
                      <w:lang w:eastAsia="en-GB"/>
                    </w:rPr>
                  </m:ctrlPr>
                </m:dPr>
                <m:e>
                  <m:r>
                    <m:rPr>
                      <m:sty m:val="p"/>
                    </m:rPr>
                    <w:rPr>
                      <w:rFonts w:ascii="Cambria Math" w:eastAsia="Times New Roman" w:hAnsi="Cambria Math" w:cs="Times New Roman"/>
                      <w:color w:val="4A4A4A"/>
                      <w:sz w:val="21"/>
                      <w:szCs w:val="21"/>
                      <w:lang w:eastAsia="en-GB"/>
                    </w:rPr>
                    <m:t>β-γ</m:t>
                  </m:r>
                </m:e>
              </m:d>
            </m:num>
            <m:den>
              <m:r>
                <m:rPr>
                  <m:sty m:val="p"/>
                </m:rPr>
                <w:rPr>
                  <w:rFonts w:ascii="Cambria Math" w:eastAsia="Times New Roman" w:hAnsi="Cambria Math" w:cs="Times New Roman"/>
                  <w:color w:val="4A4A4A"/>
                  <w:sz w:val="21"/>
                  <w:szCs w:val="21"/>
                  <w:lang w:eastAsia="en-GB"/>
                </w:rPr>
                <m:t>β</m:t>
              </m:r>
            </m:den>
          </m:f>
          <m:r>
            <m:rPr>
              <m:sty m:val="p"/>
            </m:rPr>
            <w:rPr>
              <w:rFonts w:ascii="Cambria Math" w:eastAsia="Times New Roman" w:hAnsi="Cambria Math" w:cs="Times New Roman"/>
              <w:color w:val="4A4A4A"/>
              <w:sz w:val="21"/>
              <w:szCs w:val="21"/>
              <w:lang w:eastAsia="en-GB"/>
            </w:rPr>
            <m:t>×100</m:t>
          </m:r>
        </m:oMath>
      </m:oMathPara>
    </w:p>
    <w:p w14:paraId="5EEDAB09" w14:textId="77777777" w:rsidR="0027590C" w:rsidRPr="00B6660F" w:rsidRDefault="0027590C" w:rsidP="0027590C">
      <w:pPr>
        <w:jc w:val="both"/>
        <w:rPr>
          <w:rFonts w:eastAsia="Times New Roman" w:cs="Times New Roman"/>
          <w:color w:val="4A4A4A"/>
          <w:sz w:val="21"/>
          <w:szCs w:val="21"/>
          <w:lang w:eastAsia="en-GB"/>
        </w:rPr>
      </w:pPr>
    </w:p>
    <w:p w14:paraId="5EC75D1F" w14:textId="7127B02C" w:rsidR="0027590C" w:rsidRPr="00B6660F" w:rsidRDefault="0027590C" w:rsidP="0027590C">
      <w:pPr>
        <w:jc w:val="both"/>
        <w:rPr>
          <w:rFonts w:eastAsia="Times New Roman" w:cs="Times New Roman"/>
          <w:b/>
          <w:color w:val="4A4A4A"/>
          <w:sz w:val="21"/>
          <w:szCs w:val="21"/>
          <w:lang w:eastAsia="en-GB"/>
        </w:rPr>
      </w:pPr>
      <w:r w:rsidRPr="00B6660F">
        <w:rPr>
          <w:rFonts w:eastAsia="Times New Roman" w:cs="Times New Roman"/>
          <w:b/>
          <w:color w:val="4A4A4A"/>
          <w:sz w:val="21"/>
          <w:szCs w:val="21"/>
          <w:lang w:eastAsia="en-GB"/>
        </w:rPr>
        <w:t xml:space="preserve">Sub-Indicator 2: Water Quality of Lakes </w:t>
      </w:r>
      <w:r w:rsidR="001D2C8C" w:rsidRPr="00B6660F">
        <w:rPr>
          <w:rFonts w:eastAsia="Times New Roman" w:cs="Times New Roman"/>
          <w:b/>
          <w:color w:val="4A4A4A"/>
          <w:sz w:val="21"/>
          <w:szCs w:val="21"/>
          <w:lang w:eastAsia="en-GB"/>
        </w:rPr>
        <w:t>and artificial water bodies</w:t>
      </w:r>
    </w:p>
    <w:p w14:paraId="214C5AD6"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The methodology for this Sub-Indicator describes how Earth observations are generated and processed into two datasets of chlorophyll a (</w:t>
      </w:r>
      <w:proofErr w:type="spellStart"/>
      <w:r w:rsidRPr="00B6660F">
        <w:rPr>
          <w:rFonts w:eastAsia="Times New Roman" w:cs="Times New Roman"/>
          <w:color w:val="4A4A4A"/>
          <w:sz w:val="21"/>
          <w:szCs w:val="21"/>
          <w:lang w:eastAsia="en-GB"/>
        </w:rPr>
        <w:t>Chl</w:t>
      </w:r>
      <w:proofErr w:type="spellEnd"/>
      <w:r w:rsidRPr="00B6660F">
        <w:rPr>
          <w:rFonts w:eastAsia="Times New Roman" w:cs="Times New Roman"/>
          <w:color w:val="4A4A4A"/>
          <w:sz w:val="21"/>
          <w:szCs w:val="21"/>
          <w:lang w:eastAsia="en-GB"/>
        </w:rPr>
        <w:t xml:space="preserve">) and total suspended solids (TSS) within lakes globally. Earth observations can only provide information on concentrations of in-water materials that affect the colour of water. These materials include </w:t>
      </w:r>
      <w:proofErr w:type="spellStart"/>
      <w:r w:rsidRPr="00B6660F">
        <w:rPr>
          <w:rFonts w:eastAsia="Times New Roman" w:cs="Times New Roman"/>
          <w:color w:val="4A4A4A"/>
          <w:sz w:val="21"/>
          <w:szCs w:val="21"/>
          <w:lang w:eastAsia="en-GB"/>
        </w:rPr>
        <w:t>Chl</w:t>
      </w:r>
      <w:proofErr w:type="spellEnd"/>
      <w:r w:rsidRPr="00B6660F">
        <w:rPr>
          <w:rFonts w:eastAsia="Times New Roman" w:cs="Times New Roman"/>
          <w:color w:val="4A4A4A"/>
          <w:sz w:val="21"/>
          <w:szCs w:val="21"/>
          <w:lang w:eastAsia="en-GB"/>
        </w:rPr>
        <w:t xml:space="preserve">, which is the primary pigment in phytoplankton (the primary source of food on the food-chain), and TSS. The concentrations of </w:t>
      </w:r>
      <w:proofErr w:type="spellStart"/>
      <w:r w:rsidRPr="00B6660F">
        <w:rPr>
          <w:rFonts w:eastAsia="Times New Roman" w:cs="Times New Roman"/>
          <w:color w:val="4A4A4A"/>
          <w:sz w:val="21"/>
          <w:szCs w:val="21"/>
          <w:lang w:eastAsia="en-GB"/>
        </w:rPr>
        <w:t>Chl</w:t>
      </w:r>
      <w:proofErr w:type="spellEnd"/>
      <w:r w:rsidRPr="00B6660F">
        <w:rPr>
          <w:rFonts w:eastAsia="Times New Roman" w:cs="Times New Roman"/>
          <w:color w:val="4A4A4A"/>
          <w:sz w:val="21"/>
          <w:szCs w:val="21"/>
          <w:lang w:eastAsia="en-GB"/>
        </w:rPr>
        <w:t xml:space="preserve"> and TSS can be used as proxies to infer other important </w:t>
      </w:r>
      <w:proofErr w:type="spellStart"/>
      <w:r w:rsidRPr="00B6660F">
        <w:rPr>
          <w:rFonts w:eastAsia="Times New Roman" w:cs="Times New Roman"/>
          <w:color w:val="4A4A4A"/>
          <w:sz w:val="21"/>
          <w:szCs w:val="21"/>
          <w:lang w:eastAsia="en-GB"/>
        </w:rPr>
        <w:t>waterbody</w:t>
      </w:r>
      <w:proofErr w:type="spellEnd"/>
      <w:r w:rsidRPr="00B6660F">
        <w:rPr>
          <w:rFonts w:eastAsia="Times New Roman" w:cs="Times New Roman"/>
          <w:color w:val="4A4A4A"/>
          <w:sz w:val="21"/>
          <w:szCs w:val="21"/>
          <w:lang w:eastAsia="en-GB"/>
        </w:rPr>
        <w:t xml:space="preserve"> characteristics.</w:t>
      </w:r>
    </w:p>
    <w:p w14:paraId="09457ECA" w14:textId="77777777" w:rsidR="0027590C" w:rsidRPr="00B6660F" w:rsidRDefault="0027590C" w:rsidP="0027590C">
      <w:pPr>
        <w:rPr>
          <w:rFonts w:eastAsia="Times New Roman" w:cs="Times New Roman"/>
          <w:color w:val="4A4A4A"/>
          <w:sz w:val="21"/>
          <w:szCs w:val="21"/>
          <w:lang w:eastAsia="en-GB"/>
        </w:rPr>
      </w:pPr>
      <w:proofErr w:type="spellStart"/>
      <w:r w:rsidRPr="00B6660F">
        <w:rPr>
          <w:rFonts w:eastAsia="Times New Roman" w:cs="Times New Roman"/>
          <w:color w:val="4A4A4A"/>
          <w:sz w:val="21"/>
          <w:szCs w:val="21"/>
          <w:lang w:eastAsia="en-GB"/>
        </w:rPr>
        <w:t>Chl</w:t>
      </w:r>
      <w:proofErr w:type="spellEnd"/>
      <w:r w:rsidRPr="00B6660F">
        <w:rPr>
          <w:rFonts w:eastAsia="Times New Roman" w:cs="Times New Roman"/>
          <w:color w:val="4A4A4A"/>
          <w:sz w:val="21"/>
          <w:szCs w:val="21"/>
          <w:lang w:eastAsia="en-GB"/>
        </w:rPr>
        <w:t xml:space="preserve"> and TSS results are derived using empirical algorithms, generated for each individual pixel to ensure the spatial variability within each lake is fully captured. Results are averaged over a year for each lake to produce lake-wide </w:t>
      </w:r>
      <w:proofErr w:type="spellStart"/>
      <w:r w:rsidRPr="00B6660F">
        <w:rPr>
          <w:rFonts w:eastAsia="Times New Roman" w:cs="Times New Roman"/>
          <w:color w:val="4A4A4A"/>
          <w:sz w:val="21"/>
          <w:szCs w:val="21"/>
          <w:lang w:eastAsia="en-GB"/>
        </w:rPr>
        <w:t>Chl</w:t>
      </w:r>
      <w:proofErr w:type="spellEnd"/>
      <w:r w:rsidRPr="00B6660F">
        <w:rPr>
          <w:rFonts w:eastAsia="Times New Roman" w:cs="Times New Roman"/>
          <w:color w:val="4A4A4A"/>
          <w:sz w:val="21"/>
          <w:szCs w:val="21"/>
          <w:lang w:eastAsia="en-GB"/>
        </w:rPr>
        <w:t xml:space="preserve"> and TSS concentrations and </w:t>
      </w:r>
      <w:proofErr w:type="gramStart"/>
      <w:r w:rsidRPr="00B6660F">
        <w:rPr>
          <w:rFonts w:eastAsia="Times New Roman" w:cs="Times New Roman"/>
          <w:color w:val="4A4A4A"/>
          <w:sz w:val="21"/>
          <w:szCs w:val="21"/>
          <w:lang w:eastAsia="en-GB"/>
        </w:rPr>
        <w:t>small localized</w:t>
      </w:r>
      <w:proofErr w:type="gramEnd"/>
      <w:r w:rsidRPr="00B6660F">
        <w:rPr>
          <w:rFonts w:eastAsia="Times New Roman" w:cs="Times New Roman"/>
          <w:color w:val="4A4A4A"/>
          <w:sz w:val="21"/>
          <w:szCs w:val="21"/>
          <w:lang w:eastAsia="en-GB"/>
        </w:rPr>
        <w:t xml:space="preserve"> fluctuations in concentration of these two parameters are not shown. On any one day, the pixels representing each concentration of </w:t>
      </w:r>
      <w:proofErr w:type="spellStart"/>
      <w:r w:rsidRPr="00B6660F">
        <w:rPr>
          <w:rFonts w:eastAsia="Times New Roman" w:cs="Times New Roman"/>
          <w:color w:val="4A4A4A"/>
          <w:sz w:val="21"/>
          <w:szCs w:val="21"/>
          <w:lang w:eastAsia="en-GB"/>
        </w:rPr>
        <w:t>Chl</w:t>
      </w:r>
      <w:proofErr w:type="spellEnd"/>
      <w:r w:rsidRPr="00B6660F">
        <w:rPr>
          <w:rFonts w:eastAsia="Times New Roman" w:cs="Times New Roman"/>
          <w:color w:val="4A4A4A"/>
          <w:sz w:val="21"/>
          <w:szCs w:val="21"/>
          <w:lang w:eastAsia="en-GB"/>
        </w:rPr>
        <w:t xml:space="preserve"> or TSS are quantified and a lake-wide average is determined for that day. </w:t>
      </w:r>
    </w:p>
    <w:p w14:paraId="4A1DC3F4" w14:textId="77777777" w:rsidR="0027590C" w:rsidRPr="00B6660F" w:rsidRDefault="0027590C" w:rsidP="0027590C">
      <w:pPr>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The change in concentration of both </w:t>
      </w:r>
      <w:proofErr w:type="spellStart"/>
      <w:r w:rsidRPr="00B6660F">
        <w:rPr>
          <w:rFonts w:eastAsia="Times New Roman" w:cs="Times New Roman"/>
          <w:color w:val="4A4A4A"/>
          <w:sz w:val="21"/>
          <w:szCs w:val="21"/>
          <w:lang w:eastAsia="en-GB"/>
        </w:rPr>
        <w:t>Chl</w:t>
      </w:r>
      <w:proofErr w:type="spellEnd"/>
      <w:r w:rsidRPr="00B6660F">
        <w:rPr>
          <w:rFonts w:eastAsia="Times New Roman" w:cs="Times New Roman"/>
          <w:color w:val="4A4A4A"/>
          <w:sz w:val="21"/>
          <w:szCs w:val="21"/>
          <w:lang w:eastAsia="en-GB"/>
        </w:rPr>
        <w:t xml:space="preserve"> and TSS can be determined from comparing an annual average against the baseline. This annual average </w:t>
      </w:r>
      <w:proofErr w:type="spellStart"/>
      <w:r w:rsidRPr="00B6660F">
        <w:rPr>
          <w:rFonts w:eastAsia="Times New Roman" w:cs="Times New Roman"/>
          <w:color w:val="4A4A4A"/>
          <w:sz w:val="21"/>
          <w:szCs w:val="21"/>
          <w:lang w:eastAsia="en-GB"/>
        </w:rPr>
        <w:t>Chl</w:t>
      </w:r>
      <w:proofErr w:type="spellEnd"/>
      <w:r w:rsidRPr="00B6660F">
        <w:rPr>
          <w:rFonts w:eastAsia="Times New Roman" w:cs="Times New Roman"/>
          <w:color w:val="4A4A4A"/>
          <w:sz w:val="21"/>
          <w:szCs w:val="21"/>
          <w:lang w:eastAsia="en-GB"/>
        </w:rPr>
        <w:t xml:space="preserve"> and TSS will be averaged every 5 years, which will be compared to the </w:t>
      </w:r>
      <w:proofErr w:type="spellStart"/>
      <w:r w:rsidRPr="00B6660F">
        <w:rPr>
          <w:rFonts w:eastAsia="Times New Roman" w:cs="Times New Roman"/>
          <w:color w:val="4A4A4A"/>
          <w:sz w:val="21"/>
          <w:szCs w:val="21"/>
          <w:lang w:eastAsia="en-GB"/>
        </w:rPr>
        <w:t>Chl</w:t>
      </w:r>
      <w:proofErr w:type="spellEnd"/>
      <w:r w:rsidRPr="00B6660F">
        <w:rPr>
          <w:rFonts w:eastAsia="Times New Roman" w:cs="Times New Roman"/>
          <w:color w:val="4A4A4A"/>
          <w:sz w:val="21"/>
          <w:szCs w:val="21"/>
          <w:lang w:eastAsia="en-GB"/>
        </w:rPr>
        <w:t xml:space="preserve"> and TSS baselines to generate a percentage change. The locations where percentage change is excessive can be targeted for increased water quality monitoring and management. </w:t>
      </w:r>
    </w:p>
    <w:p w14:paraId="72F346CC" w14:textId="77777777" w:rsidR="0027590C" w:rsidRPr="00B6660F" w:rsidRDefault="0027590C" w:rsidP="0027590C">
      <w:pPr>
        <w:jc w:val="both"/>
        <w:rPr>
          <w:rFonts w:eastAsia="Times New Roman" w:cs="Times New Roman"/>
          <w:b/>
          <w:color w:val="4A4A4A"/>
          <w:sz w:val="21"/>
          <w:szCs w:val="21"/>
          <w:lang w:eastAsia="en-GB"/>
        </w:rPr>
      </w:pPr>
      <w:r w:rsidRPr="00B6660F">
        <w:rPr>
          <w:rFonts w:eastAsia="Times New Roman" w:cs="Times New Roman"/>
          <w:b/>
          <w:color w:val="4A4A4A"/>
          <w:sz w:val="21"/>
          <w:szCs w:val="21"/>
          <w:lang w:eastAsia="en-GB"/>
        </w:rPr>
        <w:t>Sub-Indicator 3: Quantity (Discharge) of Water in Rivers and Estuaries</w:t>
      </w:r>
    </w:p>
    <w:p w14:paraId="79EFF42C"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The methodology for this Sub-Indicator describes different techniques for countries to implement to monitor river and estuary discharge. These techniques can include gauging stations or discharge meters. The methodology does not prescribe the type of discharge measurement technique because selection should be based on the size and type of the </w:t>
      </w:r>
      <w:proofErr w:type="spellStart"/>
      <w:r w:rsidRPr="00B6660F">
        <w:rPr>
          <w:rFonts w:eastAsia="Times New Roman" w:cs="Times New Roman"/>
          <w:color w:val="4A4A4A"/>
          <w:sz w:val="21"/>
          <w:szCs w:val="21"/>
          <w:lang w:eastAsia="en-GB"/>
        </w:rPr>
        <w:t>waterbody</w:t>
      </w:r>
      <w:proofErr w:type="spellEnd"/>
      <w:r w:rsidRPr="00B6660F">
        <w:rPr>
          <w:rFonts w:eastAsia="Times New Roman" w:cs="Times New Roman"/>
          <w:color w:val="4A4A4A"/>
          <w:sz w:val="21"/>
          <w:szCs w:val="21"/>
          <w:lang w:eastAsia="en-GB"/>
        </w:rPr>
        <w:t>, terrain and velocity of water flow, the desired accuracy of measurement, as well as finances available. However, any discharge data collected by countries must adhere to the following minimum criteria:</w:t>
      </w:r>
    </w:p>
    <w:p w14:paraId="057723C4" w14:textId="77777777" w:rsidR="0027590C" w:rsidRPr="00B6660F" w:rsidRDefault="0027590C" w:rsidP="0027590C">
      <w:pPr>
        <w:pStyle w:val="ListParagraph"/>
        <w:numPr>
          <w:ilvl w:val="0"/>
          <w:numId w:val="41"/>
        </w:num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Discharge data from each river/estuary monitored should be collected at least once per month. This data should then be averaged to obtain an annual average discharge per river/estuary monitored. </w:t>
      </w:r>
    </w:p>
    <w:p w14:paraId="46A3B958" w14:textId="77777777" w:rsidR="0027590C" w:rsidRPr="00B6660F" w:rsidRDefault="0027590C" w:rsidP="0027590C">
      <w:pPr>
        <w:pStyle w:val="ListParagraph"/>
        <w:numPr>
          <w:ilvl w:val="0"/>
          <w:numId w:val="41"/>
        </w:num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lastRenderedPageBreak/>
        <w:t xml:space="preserve">Each basin should have at minimum of one sampling location, at the point where its water exits into another basin or crosses a national boundary. </w:t>
      </w:r>
    </w:p>
    <w:p w14:paraId="120A4614"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Countries will submit 5 years of data on annual average discharges per basin to the custodian agencies. The data from these 5 years will be averaged to smooth short-term variability. To generate national percentage change of discharge over time, a common reference period for all basins must be established. This baseline period will be used to calculate percentage change of discharge for any subsequent 5-year period. To calculate percentage change in discharge for each </w:t>
      </w:r>
      <w:proofErr w:type="gramStart"/>
      <w:r w:rsidRPr="00B6660F">
        <w:rPr>
          <w:rFonts w:eastAsia="Times New Roman" w:cs="Times New Roman"/>
          <w:color w:val="4A4A4A"/>
          <w:sz w:val="21"/>
          <w:szCs w:val="21"/>
          <w:lang w:eastAsia="en-GB"/>
        </w:rPr>
        <w:t>five year</w:t>
      </w:r>
      <w:proofErr w:type="gramEnd"/>
      <w:r w:rsidRPr="00B6660F">
        <w:rPr>
          <w:rFonts w:eastAsia="Times New Roman" w:cs="Times New Roman"/>
          <w:color w:val="4A4A4A"/>
          <w:sz w:val="21"/>
          <w:szCs w:val="21"/>
          <w:lang w:eastAsia="en-GB"/>
        </w:rPr>
        <w:t xml:space="preserve"> period following the reference period, the following formula is used:</w:t>
      </w:r>
    </w:p>
    <w:tbl>
      <w:tblPr>
        <w:tblStyle w:val="TableGrid"/>
        <w:tblpPr w:leftFromText="180" w:rightFromText="180" w:vertAnchor="text" w:horzAnchor="page" w:tblpX="6706" w:tblpY="4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tblGrid>
      <w:tr w:rsidR="0027590C" w:rsidRPr="00B6660F" w14:paraId="69F9914F" w14:textId="77777777" w:rsidTr="0023574C">
        <w:trPr>
          <w:trHeight w:val="1790"/>
        </w:trPr>
        <w:tc>
          <w:tcPr>
            <w:tcW w:w="4158" w:type="dxa"/>
          </w:tcPr>
          <w:p w14:paraId="2F2F3054" w14:textId="77777777" w:rsidR="0027590C" w:rsidRPr="00B6660F" w:rsidRDefault="0027590C" w:rsidP="0023574C">
            <w:pPr>
              <w:jc w:val="both"/>
              <w:rPr>
                <w:rFonts w:eastAsia="Times New Roman" w:cs="Times New Roman"/>
                <w:color w:val="4A4A4A"/>
                <w:sz w:val="21"/>
                <w:szCs w:val="21"/>
                <w:lang w:val="en-GB" w:eastAsia="en-GB"/>
              </w:rPr>
            </w:pPr>
            <w:proofErr w:type="gramStart"/>
            <w:r w:rsidRPr="00B6660F">
              <w:rPr>
                <w:rFonts w:eastAsia="Times New Roman" w:cs="Times New Roman"/>
                <w:color w:val="4A4A4A"/>
                <w:sz w:val="21"/>
                <w:szCs w:val="21"/>
                <w:lang w:val="en-GB" w:eastAsia="en-GB"/>
              </w:rPr>
              <w:t xml:space="preserve">Where </w:t>
            </w:r>
            <m:oMath>
              <m:r>
                <m:rPr>
                  <m:sty m:val="p"/>
                </m:rPr>
                <w:rPr>
                  <w:rFonts w:ascii="Cambria Math" w:eastAsia="Times New Roman" w:hAnsi="Cambria Math" w:cs="Times New Roman"/>
                  <w:color w:val="4A4A4A"/>
                  <w:sz w:val="21"/>
                  <w:szCs w:val="21"/>
                  <w:lang w:val="en-GB" w:eastAsia="en-GB"/>
                </w:rPr>
                <m:t xml:space="preserve"> β</m:t>
              </m:r>
              <w:proofErr w:type="gramEnd"/>
              <m:r>
                <m:rPr>
                  <m:sty m:val="p"/>
                </m:rPr>
                <w:rPr>
                  <w:rFonts w:ascii="Cambria Math" w:eastAsia="Times New Roman" w:hAnsi="Cambria Math" w:cs="Times New Roman"/>
                  <w:color w:val="4A4A4A"/>
                  <w:sz w:val="21"/>
                  <w:szCs w:val="21"/>
                  <w:lang w:val="en-GB" w:eastAsia="en-GB"/>
                </w:rPr>
                <m:t xml:space="preserve"> </m:t>
              </m:r>
            </m:oMath>
            <w:r w:rsidRPr="00B6660F">
              <w:rPr>
                <w:rFonts w:eastAsia="Times New Roman" w:cs="Times New Roman"/>
                <w:color w:val="4A4A4A"/>
                <w:sz w:val="21"/>
                <w:szCs w:val="21"/>
                <w:lang w:val="en-GB" w:eastAsia="en-GB"/>
              </w:rPr>
              <w:t xml:space="preserve">= historical 5 year reference discharge </w:t>
            </w:r>
          </w:p>
          <w:p w14:paraId="405DCFCC" w14:textId="77777777" w:rsidR="0027590C" w:rsidRPr="00B6660F" w:rsidRDefault="0027590C" w:rsidP="0023574C">
            <w:pPr>
              <w:jc w:val="both"/>
              <w:rPr>
                <w:rFonts w:eastAsia="Times New Roman" w:cs="Times New Roman"/>
                <w:color w:val="4A4A4A"/>
                <w:sz w:val="21"/>
                <w:szCs w:val="21"/>
                <w:lang w:val="en-GB" w:eastAsia="en-GB"/>
              </w:rPr>
            </w:pPr>
            <w:r w:rsidRPr="00B6660F">
              <w:rPr>
                <w:rFonts w:eastAsia="Times New Roman" w:cs="Times New Roman"/>
                <w:color w:val="4A4A4A"/>
                <w:sz w:val="21"/>
                <w:szCs w:val="21"/>
                <w:lang w:val="en-GB" w:eastAsia="en-GB"/>
              </w:rPr>
              <w:t xml:space="preserve">Where </w:t>
            </w:r>
            <m:oMath>
              <m:r>
                <m:rPr>
                  <m:sty m:val="p"/>
                </m:rPr>
                <w:rPr>
                  <w:rFonts w:ascii="Cambria Math" w:eastAsia="Times New Roman" w:hAnsi="Cambria Math" w:cs="Times New Roman"/>
                  <w:color w:val="4A4A4A"/>
                  <w:sz w:val="21"/>
                  <w:szCs w:val="21"/>
                  <w:lang w:val="en-GB" w:eastAsia="en-GB"/>
                </w:rPr>
                <m:t>γ</m:t>
              </m:r>
            </m:oMath>
            <w:r w:rsidRPr="00B6660F">
              <w:rPr>
                <w:rFonts w:eastAsia="Times New Roman" w:cs="Times New Roman"/>
                <w:color w:val="4A4A4A"/>
                <w:sz w:val="21"/>
                <w:szCs w:val="21"/>
                <w:lang w:val="en-GB" w:eastAsia="en-GB"/>
              </w:rPr>
              <w:t xml:space="preserve"> = the average discharge of 5 year period of interest</w:t>
            </w:r>
          </w:p>
        </w:tc>
      </w:tr>
    </w:tbl>
    <w:p w14:paraId="2648797D" w14:textId="77777777" w:rsidR="0027590C" w:rsidRPr="00B6660F" w:rsidRDefault="0027590C" w:rsidP="0027590C">
      <w:pPr>
        <w:jc w:val="both"/>
        <w:rPr>
          <w:rFonts w:eastAsia="Times New Roman" w:cs="Times New Roman"/>
          <w:color w:val="4A4A4A"/>
          <w:sz w:val="21"/>
          <w:szCs w:val="21"/>
          <w:lang w:eastAsia="en-GB"/>
        </w:rPr>
      </w:pPr>
      <m:oMathPara>
        <m:oMath>
          <m:r>
            <m:rPr>
              <m:sty m:val="p"/>
            </m:rPr>
            <w:rPr>
              <w:rFonts w:ascii="Cambria Math" w:eastAsia="Times New Roman" w:hAnsi="Cambria Math" w:cs="Times New Roman"/>
              <w:color w:val="4A4A4A"/>
              <w:sz w:val="21"/>
              <w:szCs w:val="21"/>
              <w:lang w:eastAsia="en-GB"/>
            </w:rPr>
            <m:t>Percentage Change in Discharge=</m:t>
          </m:r>
          <m:f>
            <m:fPr>
              <m:ctrlPr>
                <w:rPr>
                  <w:rFonts w:ascii="Cambria Math" w:eastAsia="Times New Roman" w:hAnsi="Cambria Math" w:cs="Times New Roman"/>
                  <w:color w:val="4A4A4A"/>
                  <w:sz w:val="21"/>
                  <w:szCs w:val="21"/>
                  <w:lang w:eastAsia="en-GB"/>
                </w:rPr>
              </m:ctrlPr>
            </m:fPr>
            <m:num>
              <m:d>
                <m:dPr>
                  <m:ctrlPr>
                    <w:rPr>
                      <w:rFonts w:ascii="Cambria Math" w:eastAsia="Times New Roman" w:hAnsi="Cambria Math" w:cs="Times New Roman"/>
                      <w:color w:val="4A4A4A"/>
                      <w:sz w:val="21"/>
                      <w:szCs w:val="21"/>
                      <w:lang w:eastAsia="en-GB"/>
                    </w:rPr>
                  </m:ctrlPr>
                </m:dPr>
                <m:e>
                  <m:r>
                    <m:rPr>
                      <m:sty m:val="p"/>
                    </m:rPr>
                    <w:rPr>
                      <w:rFonts w:ascii="Cambria Math" w:eastAsia="Times New Roman" w:hAnsi="Cambria Math" w:cs="Times New Roman"/>
                      <w:color w:val="4A4A4A"/>
                      <w:sz w:val="21"/>
                      <w:szCs w:val="21"/>
                      <w:lang w:eastAsia="en-GB"/>
                    </w:rPr>
                    <m:t>β-γ</m:t>
                  </m:r>
                </m:e>
              </m:d>
            </m:num>
            <m:den>
              <m:r>
                <m:rPr>
                  <m:sty m:val="p"/>
                </m:rPr>
                <w:rPr>
                  <w:rFonts w:ascii="Cambria Math" w:eastAsia="Times New Roman" w:hAnsi="Cambria Math" w:cs="Times New Roman"/>
                  <w:color w:val="4A4A4A"/>
                  <w:sz w:val="21"/>
                  <w:szCs w:val="21"/>
                  <w:lang w:eastAsia="en-GB"/>
                </w:rPr>
                <m:t>β</m:t>
              </m:r>
            </m:den>
          </m:f>
          <m:r>
            <m:rPr>
              <m:sty m:val="p"/>
            </m:rPr>
            <w:rPr>
              <w:rFonts w:ascii="Cambria Math" w:eastAsia="Times New Roman" w:hAnsi="Cambria Math" w:cs="Times New Roman"/>
              <w:color w:val="4A4A4A"/>
              <w:sz w:val="21"/>
              <w:szCs w:val="21"/>
              <w:lang w:eastAsia="en-GB"/>
            </w:rPr>
            <m:t>×100</m:t>
          </m:r>
        </m:oMath>
      </m:oMathPara>
    </w:p>
    <w:p w14:paraId="7A432971" w14:textId="77777777" w:rsidR="0027590C" w:rsidRPr="00B6660F" w:rsidRDefault="0027590C" w:rsidP="0027590C">
      <w:pPr>
        <w:jc w:val="both"/>
        <w:rPr>
          <w:rFonts w:eastAsia="Times New Roman" w:cs="Times New Roman"/>
          <w:color w:val="4A4A4A"/>
          <w:sz w:val="21"/>
          <w:szCs w:val="21"/>
          <w:lang w:eastAsia="en-GB"/>
        </w:rPr>
      </w:pPr>
    </w:p>
    <w:p w14:paraId="7D99BAED" w14:textId="77777777" w:rsidR="0027590C" w:rsidRPr="00B6660F" w:rsidRDefault="0027590C" w:rsidP="0027590C">
      <w:pPr>
        <w:jc w:val="both"/>
        <w:rPr>
          <w:rFonts w:eastAsia="Times New Roman" w:cs="Times New Roman"/>
          <w:b/>
          <w:color w:val="4A4A4A"/>
          <w:sz w:val="21"/>
          <w:szCs w:val="21"/>
          <w:lang w:eastAsia="en-GB"/>
        </w:rPr>
      </w:pPr>
      <w:r w:rsidRPr="00B6660F">
        <w:rPr>
          <w:rFonts w:eastAsia="Times New Roman" w:cs="Times New Roman"/>
          <w:b/>
          <w:color w:val="4A4A4A"/>
          <w:sz w:val="21"/>
          <w:szCs w:val="21"/>
          <w:lang w:eastAsia="en-GB"/>
        </w:rPr>
        <w:t>Sub-Indicator 4: Quality of Water-related Ecosystems</w:t>
      </w:r>
    </w:p>
    <w:p w14:paraId="0DA4FF13"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The methodology for this Sub-Indicator is described in SDG Indicator 6.3.2. The data collected for Indicator 6.3.2 is utilized for Sub-Indicator 4 to inform a calculation of percentage change over time in </w:t>
      </w:r>
      <w:proofErr w:type="spellStart"/>
      <w:r w:rsidRPr="00B6660F">
        <w:rPr>
          <w:rFonts w:eastAsia="Times New Roman" w:cs="Times New Roman"/>
          <w:color w:val="4A4A4A"/>
          <w:sz w:val="21"/>
          <w:szCs w:val="21"/>
          <w:lang w:eastAsia="en-GB"/>
        </w:rPr>
        <w:t>waterbodies</w:t>
      </w:r>
      <w:proofErr w:type="spellEnd"/>
      <w:r w:rsidRPr="00B6660F">
        <w:rPr>
          <w:rFonts w:eastAsia="Times New Roman" w:cs="Times New Roman"/>
          <w:color w:val="4A4A4A"/>
          <w:sz w:val="21"/>
          <w:szCs w:val="21"/>
          <w:lang w:eastAsia="en-GB"/>
        </w:rPr>
        <w:t xml:space="preserve"> with good ambient water quality. </w:t>
      </w:r>
    </w:p>
    <w:p w14:paraId="0DDA41D0" w14:textId="77777777" w:rsidR="0027590C" w:rsidRPr="00B6660F" w:rsidRDefault="0027590C" w:rsidP="0027590C">
      <w:pPr>
        <w:jc w:val="both"/>
        <w:rPr>
          <w:rFonts w:eastAsia="Times New Roman" w:cs="Times New Roman"/>
          <w:b/>
          <w:color w:val="4A4A4A"/>
          <w:sz w:val="21"/>
          <w:szCs w:val="21"/>
          <w:lang w:eastAsia="en-GB"/>
        </w:rPr>
      </w:pPr>
      <w:r w:rsidRPr="00B6660F">
        <w:rPr>
          <w:rFonts w:eastAsia="Times New Roman" w:cs="Times New Roman"/>
          <w:b/>
          <w:color w:val="4A4A4A"/>
          <w:sz w:val="21"/>
          <w:szCs w:val="21"/>
          <w:lang w:eastAsia="en-GB"/>
        </w:rPr>
        <w:t>Sub-Indicator 5: Quantity of Groundwater within Aquifers</w:t>
      </w:r>
    </w:p>
    <w:p w14:paraId="091B8E1A"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The methodology for this Sub-Indicator describes a simplified technique for countries to monitor groundwater quantity within aquifers. The volume of groundwater stored in an aquifer is most traditionally estimated using a combination of parameters but for the purposes of Indicator 6.6.1 monitoring, the ‘head’ or level of groundwater within an aquifer can solely be measured as a proxy for groundwater volume within an aquifer. Measuring the level of groundwater within an aquifer is done through the use of boreholes. The methodology does not prescribe the number of boreholes to be monitored per aquifer because the distribution of groundwater can be variable depending on the location and characteristics of aquifers. However, any groundwater level data collected by countries must adhere to the following minimum criteria:</w:t>
      </w:r>
    </w:p>
    <w:p w14:paraId="01271E24" w14:textId="77777777" w:rsidR="0027590C" w:rsidRPr="00B6660F" w:rsidRDefault="0027590C" w:rsidP="0027590C">
      <w:pPr>
        <w:pStyle w:val="ListParagraph"/>
        <w:numPr>
          <w:ilvl w:val="0"/>
          <w:numId w:val="42"/>
        </w:numPr>
        <w:spacing w:before="200"/>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Point measurements of groundwater level within aquifers should be collected at least twice per year. This data should then be averaged to obtain an annual average groundwater level per aquifer monitored. Understanding the seasonal and other </w:t>
      </w:r>
      <w:proofErr w:type="gramStart"/>
      <w:r w:rsidRPr="00B6660F">
        <w:rPr>
          <w:rFonts w:eastAsia="Times New Roman" w:cs="Times New Roman"/>
          <w:color w:val="4A4A4A"/>
          <w:sz w:val="21"/>
          <w:szCs w:val="21"/>
          <w:lang w:eastAsia="en-GB"/>
        </w:rPr>
        <w:t>short term</w:t>
      </w:r>
      <w:proofErr w:type="gramEnd"/>
      <w:r w:rsidRPr="00B6660F">
        <w:rPr>
          <w:rFonts w:eastAsia="Times New Roman" w:cs="Times New Roman"/>
          <w:color w:val="4A4A4A"/>
          <w:sz w:val="21"/>
          <w:szCs w:val="21"/>
          <w:lang w:eastAsia="en-GB"/>
        </w:rPr>
        <w:t xml:space="preserve"> changes is a necessary aspect of management of groundwater but should only be considered as part of the local management of the groundwater.</w:t>
      </w:r>
    </w:p>
    <w:p w14:paraId="54BC0260" w14:textId="77777777" w:rsidR="0027590C" w:rsidRPr="00B6660F" w:rsidRDefault="0027590C" w:rsidP="0027590C">
      <w:pPr>
        <w:pStyle w:val="ListParagraph"/>
        <w:numPr>
          <w:ilvl w:val="0"/>
          <w:numId w:val="42"/>
        </w:numPr>
        <w:spacing w:before="200"/>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Each aquifer monitored should have at minimum one borehole that can be used for groundwater level measurements.</w:t>
      </w:r>
    </w:p>
    <w:p w14:paraId="4BB3F8AA" w14:textId="77777777" w:rsidR="0027590C" w:rsidRPr="00B6660F" w:rsidRDefault="0027590C" w:rsidP="0027590C">
      <w:pPr>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 xml:space="preserve">Countries will submit 5 years of data on annual average groundwater level per basin to the custodian agencies, which will be averaged to smooth short-term variability. To generate national percentage change of discharge over time, a common reference period for all basins must be established. This baseline period will be used to calculate percentage change of groundwater quantity for any subsequent 5-year period. To calculate percentage change in quantity for each </w:t>
      </w:r>
      <w:proofErr w:type="gramStart"/>
      <w:r w:rsidRPr="00B6660F">
        <w:rPr>
          <w:rFonts w:eastAsia="Times New Roman" w:cs="Times New Roman"/>
          <w:color w:val="4A4A4A"/>
          <w:sz w:val="21"/>
          <w:szCs w:val="21"/>
          <w:lang w:eastAsia="en-GB"/>
        </w:rPr>
        <w:t>five year</w:t>
      </w:r>
      <w:proofErr w:type="gramEnd"/>
      <w:r w:rsidRPr="00B6660F">
        <w:rPr>
          <w:rFonts w:eastAsia="Times New Roman" w:cs="Times New Roman"/>
          <w:color w:val="4A4A4A"/>
          <w:sz w:val="21"/>
          <w:szCs w:val="21"/>
          <w:lang w:eastAsia="en-GB"/>
        </w:rPr>
        <w:t xml:space="preserve"> period following the reference period, the following formula is used:</w:t>
      </w:r>
    </w:p>
    <w:p w14:paraId="52576441" w14:textId="77777777" w:rsidR="0027590C" w:rsidRPr="00B6660F" w:rsidRDefault="0027590C" w:rsidP="0027590C">
      <w:pPr>
        <w:jc w:val="both"/>
        <w:rPr>
          <w:rFonts w:eastAsia="Times New Roman" w:cs="Times New Roman"/>
          <w:color w:val="4A4A4A"/>
          <w:sz w:val="21"/>
          <w:szCs w:val="21"/>
          <w:lang w:eastAsia="en-GB"/>
        </w:rPr>
      </w:pPr>
    </w:p>
    <w:tbl>
      <w:tblPr>
        <w:tblStyle w:val="TableGrid"/>
        <w:tblpPr w:leftFromText="180" w:rightFromText="180" w:vertAnchor="text" w:horzAnchor="page" w:tblpX="6706" w:tblpY="4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tblGrid>
      <w:tr w:rsidR="0027590C" w:rsidRPr="00B6660F" w14:paraId="55D629CB" w14:textId="77777777" w:rsidTr="0023574C">
        <w:trPr>
          <w:trHeight w:val="1790"/>
        </w:trPr>
        <w:tc>
          <w:tcPr>
            <w:tcW w:w="4158" w:type="dxa"/>
          </w:tcPr>
          <w:p w14:paraId="7DADEAED" w14:textId="77777777" w:rsidR="0027590C" w:rsidRPr="00B6660F" w:rsidRDefault="0027590C" w:rsidP="0023574C">
            <w:pPr>
              <w:jc w:val="both"/>
              <w:rPr>
                <w:rFonts w:eastAsia="Times New Roman" w:cs="Times New Roman"/>
                <w:color w:val="4A4A4A"/>
                <w:sz w:val="21"/>
                <w:szCs w:val="21"/>
                <w:lang w:val="en-GB" w:eastAsia="en-GB"/>
              </w:rPr>
            </w:pPr>
            <w:proofErr w:type="gramStart"/>
            <w:r w:rsidRPr="00B6660F">
              <w:rPr>
                <w:rFonts w:eastAsia="Times New Roman" w:cs="Times New Roman"/>
                <w:color w:val="4A4A4A"/>
                <w:sz w:val="21"/>
                <w:szCs w:val="21"/>
                <w:lang w:val="en-GB" w:eastAsia="en-GB"/>
              </w:rPr>
              <w:lastRenderedPageBreak/>
              <w:t xml:space="preserve">Where </w:t>
            </w:r>
            <m:oMath>
              <m:r>
                <m:rPr>
                  <m:sty m:val="p"/>
                </m:rPr>
                <w:rPr>
                  <w:rFonts w:ascii="Cambria Math" w:eastAsia="Times New Roman" w:hAnsi="Cambria Math" w:cs="Times New Roman"/>
                  <w:color w:val="4A4A4A"/>
                  <w:sz w:val="21"/>
                  <w:szCs w:val="21"/>
                  <w:lang w:val="en-GB" w:eastAsia="en-GB"/>
                </w:rPr>
                <m:t xml:space="preserve"> β</m:t>
              </m:r>
              <w:proofErr w:type="gramEnd"/>
              <m:r>
                <m:rPr>
                  <m:sty m:val="p"/>
                </m:rPr>
                <w:rPr>
                  <w:rFonts w:ascii="Cambria Math" w:eastAsia="Times New Roman" w:hAnsi="Cambria Math" w:cs="Times New Roman"/>
                  <w:color w:val="4A4A4A"/>
                  <w:sz w:val="21"/>
                  <w:szCs w:val="21"/>
                  <w:lang w:val="en-GB" w:eastAsia="en-GB"/>
                </w:rPr>
                <m:t xml:space="preserve"> </m:t>
              </m:r>
            </m:oMath>
            <w:r w:rsidRPr="00B6660F">
              <w:rPr>
                <w:rFonts w:eastAsia="Times New Roman" w:cs="Times New Roman"/>
                <w:color w:val="4A4A4A"/>
                <w:sz w:val="21"/>
                <w:szCs w:val="21"/>
                <w:lang w:val="en-GB" w:eastAsia="en-GB"/>
              </w:rPr>
              <w:t xml:space="preserve">= historical 5 year reference groundwater level </w:t>
            </w:r>
          </w:p>
          <w:p w14:paraId="141A73B9" w14:textId="77777777" w:rsidR="0027590C" w:rsidRPr="00B6660F" w:rsidRDefault="0027590C" w:rsidP="0023574C">
            <w:pPr>
              <w:jc w:val="both"/>
              <w:rPr>
                <w:rFonts w:eastAsia="Times New Roman" w:cs="Times New Roman"/>
                <w:color w:val="4A4A4A"/>
                <w:sz w:val="21"/>
                <w:szCs w:val="21"/>
                <w:lang w:val="en-GB" w:eastAsia="en-GB"/>
              </w:rPr>
            </w:pPr>
            <w:r w:rsidRPr="00B6660F">
              <w:rPr>
                <w:rFonts w:eastAsia="Times New Roman" w:cs="Times New Roman"/>
                <w:color w:val="4A4A4A"/>
                <w:sz w:val="21"/>
                <w:szCs w:val="21"/>
                <w:lang w:val="en-GB" w:eastAsia="en-GB"/>
              </w:rPr>
              <w:t xml:space="preserve">Where </w:t>
            </w:r>
            <m:oMath>
              <m:r>
                <m:rPr>
                  <m:sty m:val="p"/>
                </m:rPr>
                <w:rPr>
                  <w:rFonts w:ascii="Cambria Math" w:eastAsia="Times New Roman" w:hAnsi="Cambria Math" w:cs="Times New Roman"/>
                  <w:color w:val="4A4A4A"/>
                  <w:sz w:val="21"/>
                  <w:szCs w:val="21"/>
                  <w:lang w:val="en-GB" w:eastAsia="en-GB"/>
                </w:rPr>
                <m:t>γ</m:t>
              </m:r>
            </m:oMath>
            <w:r w:rsidRPr="00B6660F">
              <w:rPr>
                <w:rFonts w:eastAsia="Times New Roman" w:cs="Times New Roman"/>
                <w:color w:val="4A4A4A"/>
                <w:sz w:val="21"/>
                <w:szCs w:val="21"/>
                <w:lang w:val="en-GB" w:eastAsia="en-GB"/>
              </w:rPr>
              <w:t xml:space="preserve"> = the average groundwater level of 5 year period of interest</w:t>
            </w:r>
          </w:p>
        </w:tc>
      </w:tr>
    </w:tbl>
    <w:p w14:paraId="140E2352" w14:textId="77777777" w:rsidR="0027590C" w:rsidRPr="00B6660F" w:rsidRDefault="0027590C" w:rsidP="0027590C">
      <w:pPr>
        <w:jc w:val="both"/>
        <w:rPr>
          <w:rFonts w:eastAsia="Times New Roman" w:cs="Times New Roman"/>
          <w:color w:val="4A4A4A"/>
          <w:sz w:val="21"/>
          <w:szCs w:val="21"/>
          <w:lang w:eastAsia="en-GB"/>
        </w:rPr>
      </w:pPr>
      <m:oMathPara>
        <m:oMath>
          <m:r>
            <m:rPr>
              <m:sty m:val="p"/>
            </m:rPr>
            <w:rPr>
              <w:rFonts w:ascii="Cambria Math" w:eastAsia="Times New Roman" w:hAnsi="Cambria Math" w:cs="Times New Roman"/>
              <w:color w:val="4A4A4A"/>
              <w:sz w:val="21"/>
              <w:szCs w:val="21"/>
              <w:lang w:eastAsia="en-GB"/>
            </w:rPr>
            <m:t>Percentage Change in Quantity=</m:t>
          </m:r>
          <m:f>
            <m:fPr>
              <m:ctrlPr>
                <w:rPr>
                  <w:rFonts w:ascii="Cambria Math" w:eastAsia="Times New Roman" w:hAnsi="Cambria Math" w:cs="Times New Roman"/>
                  <w:color w:val="4A4A4A"/>
                  <w:sz w:val="21"/>
                  <w:szCs w:val="21"/>
                  <w:lang w:eastAsia="en-GB"/>
                </w:rPr>
              </m:ctrlPr>
            </m:fPr>
            <m:num>
              <m:d>
                <m:dPr>
                  <m:ctrlPr>
                    <w:rPr>
                      <w:rFonts w:ascii="Cambria Math" w:eastAsia="Times New Roman" w:hAnsi="Cambria Math" w:cs="Times New Roman"/>
                      <w:color w:val="4A4A4A"/>
                      <w:sz w:val="21"/>
                      <w:szCs w:val="21"/>
                      <w:lang w:eastAsia="en-GB"/>
                    </w:rPr>
                  </m:ctrlPr>
                </m:dPr>
                <m:e>
                  <m:r>
                    <m:rPr>
                      <m:sty m:val="p"/>
                    </m:rPr>
                    <w:rPr>
                      <w:rFonts w:ascii="Cambria Math" w:eastAsia="Times New Roman" w:hAnsi="Cambria Math" w:cs="Times New Roman"/>
                      <w:color w:val="4A4A4A"/>
                      <w:sz w:val="21"/>
                      <w:szCs w:val="21"/>
                      <w:lang w:eastAsia="en-GB"/>
                    </w:rPr>
                    <m:t>β-γ</m:t>
                  </m:r>
                </m:e>
              </m:d>
            </m:num>
            <m:den>
              <m:r>
                <m:rPr>
                  <m:sty m:val="p"/>
                </m:rPr>
                <w:rPr>
                  <w:rFonts w:ascii="Cambria Math" w:eastAsia="Times New Roman" w:hAnsi="Cambria Math" w:cs="Times New Roman"/>
                  <w:color w:val="4A4A4A"/>
                  <w:sz w:val="21"/>
                  <w:szCs w:val="21"/>
                  <w:lang w:eastAsia="en-GB"/>
                </w:rPr>
                <m:t>β</m:t>
              </m:r>
            </m:den>
          </m:f>
          <m:r>
            <m:rPr>
              <m:sty m:val="p"/>
            </m:rPr>
            <w:rPr>
              <w:rFonts w:ascii="Cambria Math" w:eastAsia="Times New Roman" w:hAnsi="Cambria Math" w:cs="Times New Roman"/>
              <w:color w:val="4A4A4A"/>
              <w:sz w:val="21"/>
              <w:szCs w:val="21"/>
              <w:lang w:eastAsia="en-GB"/>
            </w:rPr>
            <m:t>×100</m:t>
          </m:r>
        </m:oMath>
      </m:oMathPara>
    </w:p>
    <w:p w14:paraId="2A8DF45B" w14:textId="77777777" w:rsidR="001F4954" w:rsidRPr="007F33BC" w:rsidRDefault="001F4954" w:rsidP="0076213D">
      <w:pPr>
        <w:shd w:val="clear" w:color="auto" w:fill="FFFFFF"/>
        <w:spacing w:after="0"/>
        <w:rPr>
          <w:rFonts w:eastAsia="Times New Roman" w:cs="Times New Roman"/>
          <w:color w:val="4A4A4A"/>
          <w:sz w:val="18"/>
          <w:szCs w:val="21"/>
          <w:lang w:eastAsia="en-GB"/>
        </w:rPr>
      </w:pPr>
    </w:p>
    <w:p w14:paraId="0C18D1F6"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2F3B706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Disaggregation:</w:t>
      </w:r>
    </w:p>
    <w:p w14:paraId="6D94A488" w14:textId="6C917D1C" w:rsidR="006B07A9" w:rsidRDefault="0027590C" w:rsidP="0027590C">
      <w:pPr>
        <w:shd w:val="clear" w:color="auto" w:fill="FFFFFF"/>
        <w:spacing w:after="0"/>
        <w:rPr>
          <w:sz w:val="21"/>
          <w:szCs w:val="21"/>
          <w:lang w:val="en-IE"/>
        </w:rPr>
      </w:pPr>
      <w:r w:rsidRPr="0027590C">
        <w:rPr>
          <w:sz w:val="21"/>
          <w:szCs w:val="21"/>
          <w:lang w:val="en-IE"/>
        </w:rPr>
        <w:t xml:space="preserve">Indicator 6.6.1 can be disaggregated by each Sub-Indicator. All Sub-Indicators can also be </w:t>
      </w:r>
      <w:r w:rsidR="000F6E90" w:rsidRPr="0027590C">
        <w:rPr>
          <w:sz w:val="21"/>
          <w:szCs w:val="21"/>
          <w:lang w:val="en-IE"/>
        </w:rPr>
        <w:t>disaggregated</w:t>
      </w:r>
      <w:r w:rsidRPr="0027590C">
        <w:rPr>
          <w:sz w:val="21"/>
          <w:szCs w:val="21"/>
          <w:lang w:val="en-IE"/>
        </w:rPr>
        <w:t xml:space="preserve"> at different spatial scales </w:t>
      </w:r>
      <w:r w:rsidR="000F6E90" w:rsidRPr="0027590C">
        <w:rPr>
          <w:sz w:val="21"/>
          <w:szCs w:val="21"/>
          <w:lang w:val="en-IE"/>
        </w:rPr>
        <w:t>i.e.</w:t>
      </w:r>
      <w:r w:rsidRPr="0027590C">
        <w:rPr>
          <w:sz w:val="21"/>
          <w:szCs w:val="21"/>
          <w:lang w:val="en-IE"/>
        </w:rPr>
        <w:t>. National, basin, and ecosystem type.</w:t>
      </w:r>
    </w:p>
    <w:p w14:paraId="30B7B345" w14:textId="77777777" w:rsidR="0027590C" w:rsidRPr="0027590C" w:rsidRDefault="0027590C" w:rsidP="0027590C">
      <w:pPr>
        <w:shd w:val="clear" w:color="auto" w:fill="FFFFFF"/>
        <w:spacing w:after="0"/>
        <w:rPr>
          <w:rFonts w:eastAsia="Times New Roman" w:cs="Times New Roman"/>
          <w:color w:val="4A4A4A"/>
          <w:sz w:val="21"/>
          <w:szCs w:val="21"/>
          <w:lang w:eastAsia="en-GB"/>
        </w:rPr>
      </w:pPr>
    </w:p>
    <w:p w14:paraId="09294DB9" w14:textId="77777777"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Treatment of missing values:</w:t>
      </w:r>
    </w:p>
    <w:p w14:paraId="1DB13EE4"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country level</w:t>
      </w:r>
    </w:p>
    <w:p w14:paraId="607B0E0B" w14:textId="086E1A0F" w:rsidR="00647CBA" w:rsidRDefault="0027590C" w:rsidP="00647CBA">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Due to the use of satellite data for some sub-indicators, it is not expected to have missing data for these sub-indicators. For all other sub-indicators, m</w:t>
      </w:r>
      <w:r w:rsidR="00647CBA">
        <w:rPr>
          <w:rFonts w:eastAsia="Times New Roman" w:cs="Times New Roman"/>
          <w:color w:val="4A4A4A"/>
          <w:sz w:val="21"/>
          <w:szCs w:val="21"/>
          <w:lang w:eastAsia="en-GB"/>
        </w:rPr>
        <w:t xml:space="preserve">issing values are </w:t>
      </w:r>
      <w:r w:rsidR="00B2750F">
        <w:rPr>
          <w:rFonts w:eastAsia="Times New Roman" w:cs="Times New Roman"/>
          <w:color w:val="4A4A4A"/>
          <w:sz w:val="21"/>
          <w:szCs w:val="21"/>
          <w:lang w:eastAsia="en-GB"/>
        </w:rPr>
        <w:t xml:space="preserve">not imputed. </w:t>
      </w:r>
    </w:p>
    <w:p w14:paraId="6F74CB48" w14:textId="77777777" w:rsidR="0027590C" w:rsidRPr="00573631" w:rsidRDefault="0027590C" w:rsidP="00647CBA">
      <w:pPr>
        <w:shd w:val="clear" w:color="auto" w:fill="FFFFFF"/>
        <w:spacing w:after="0"/>
        <w:rPr>
          <w:rFonts w:eastAsia="Times New Roman" w:cs="Times New Roman"/>
          <w:color w:val="4A4A4A"/>
          <w:sz w:val="21"/>
          <w:szCs w:val="21"/>
          <w:lang w:eastAsia="en-GB"/>
        </w:rPr>
      </w:pPr>
    </w:p>
    <w:p w14:paraId="6BD6B454"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regional and global levels</w:t>
      </w:r>
    </w:p>
    <w:p w14:paraId="388B8979" w14:textId="77777777" w:rsidR="0058556D" w:rsidRPr="00573631" w:rsidRDefault="00647CBA" w:rsidP="00647CBA">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Missing values are </w:t>
      </w:r>
      <w:r w:rsidR="00B2750F">
        <w:rPr>
          <w:rFonts w:eastAsia="Times New Roman" w:cs="Times New Roman"/>
          <w:color w:val="4A4A4A"/>
          <w:sz w:val="21"/>
          <w:szCs w:val="21"/>
          <w:lang w:eastAsia="en-GB"/>
        </w:rPr>
        <w:t>not imputed.</w:t>
      </w:r>
    </w:p>
    <w:p w14:paraId="110F4C11" w14:textId="77777777" w:rsidR="0008658D" w:rsidRDefault="0008658D" w:rsidP="00573631">
      <w:pPr>
        <w:shd w:val="clear" w:color="auto" w:fill="FFFFFF"/>
        <w:spacing w:after="0"/>
        <w:rPr>
          <w:rFonts w:eastAsia="Times New Roman" w:cs="Times New Roman"/>
          <w:b/>
          <w:bCs/>
          <w:color w:val="4A4A4A"/>
          <w:sz w:val="21"/>
          <w:szCs w:val="21"/>
          <w:lang w:eastAsia="en-GB"/>
        </w:rPr>
      </w:pPr>
    </w:p>
    <w:p w14:paraId="5C25BB2D"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Regional aggregates:</w:t>
      </w:r>
    </w:p>
    <w:p w14:paraId="14628340" w14:textId="77777777" w:rsidR="00892533" w:rsidRDefault="00892533" w:rsidP="00892533">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For the aggregation methods, please see: </w:t>
      </w:r>
    </w:p>
    <w:p w14:paraId="2251E061" w14:textId="02EA54D2" w:rsidR="0058556D" w:rsidRDefault="00B6660F" w:rsidP="00892533">
      <w:pPr>
        <w:shd w:val="clear" w:color="auto" w:fill="FFFFFF"/>
        <w:spacing w:after="0"/>
        <w:jc w:val="both"/>
        <w:rPr>
          <w:rFonts w:eastAsia="Times New Roman" w:cs="Times New Roman"/>
          <w:color w:val="4A4A4A"/>
          <w:sz w:val="21"/>
          <w:szCs w:val="21"/>
          <w:lang w:eastAsia="en-GB"/>
        </w:rPr>
      </w:pPr>
      <w:hyperlink r:id="rId10" w:history="1">
        <w:r w:rsidR="00892533" w:rsidRPr="00201731">
          <w:rPr>
            <w:rStyle w:val="Hyperlink"/>
            <w:rFonts w:eastAsia="Times New Roman" w:cs="Times New Roman"/>
            <w:sz w:val="21"/>
            <w:szCs w:val="21"/>
            <w:lang w:eastAsia="en-GB"/>
          </w:rPr>
          <w:t>http://pre-uneplive.unep.org/media/docs/graphs/aggregation_methods.pdf</w:t>
        </w:r>
      </w:hyperlink>
      <w:r w:rsidR="00892533">
        <w:rPr>
          <w:rFonts w:eastAsia="Times New Roman" w:cs="Times New Roman"/>
          <w:color w:val="4A4A4A"/>
          <w:sz w:val="21"/>
          <w:szCs w:val="21"/>
          <w:lang w:eastAsia="en-GB"/>
        </w:rPr>
        <w:t xml:space="preserve">. </w:t>
      </w:r>
    </w:p>
    <w:p w14:paraId="3A19B092" w14:textId="77777777" w:rsidR="00892533" w:rsidRPr="00573631" w:rsidRDefault="00892533" w:rsidP="00573631">
      <w:pPr>
        <w:shd w:val="clear" w:color="auto" w:fill="FFFFFF"/>
        <w:spacing w:after="0"/>
        <w:rPr>
          <w:rFonts w:eastAsia="Times New Roman" w:cs="Times New Roman"/>
          <w:color w:val="4A4A4A"/>
          <w:sz w:val="21"/>
          <w:szCs w:val="21"/>
          <w:lang w:eastAsia="en-GB"/>
        </w:rPr>
      </w:pPr>
    </w:p>
    <w:p w14:paraId="0697A7E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Sources of discrepancies:</w:t>
      </w:r>
    </w:p>
    <w:p w14:paraId="23F048E9" w14:textId="2CB6A569" w:rsidR="0058556D" w:rsidRDefault="0027590C"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w:t>
      </w:r>
    </w:p>
    <w:p w14:paraId="4473F8F8" w14:textId="77777777" w:rsidR="0027590C" w:rsidRPr="00573631" w:rsidRDefault="0027590C" w:rsidP="00573631">
      <w:pPr>
        <w:shd w:val="clear" w:color="auto" w:fill="FFFFFF"/>
        <w:spacing w:after="0"/>
        <w:rPr>
          <w:rFonts w:eastAsia="Times New Roman" w:cs="Times New Roman"/>
          <w:color w:val="4A4A4A"/>
          <w:sz w:val="21"/>
          <w:szCs w:val="21"/>
          <w:lang w:eastAsia="en-GB"/>
        </w:rPr>
      </w:pPr>
    </w:p>
    <w:p w14:paraId="5429D1E3"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52A8675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0E84AF9A" w14:textId="7A652844" w:rsidR="0027590C" w:rsidRDefault="0027590C" w:rsidP="0027590C">
      <w:pPr>
        <w:shd w:val="clear" w:color="auto" w:fill="FFFFFF"/>
        <w:spacing w:after="0"/>
        <w:rPr>
          <w:rFonts w:eastAsia="Times New Roman" w:cs="Times New Roman"/>
          <w:color w:val="4A4A4A"/>
          <w:sz w:val="21"/>
          <w:szCs w:val="21"/>
          <w:lang w:eastAsia="en-GB"/>
        </w:rPr>
      </w:pPr>
      <w:r w:rsidRPr="0027590C">
        <w:rPr>
          <w:rFonts w:eastAsia="Times New Roman" w:cs="Times New Roman"/>
          <w:color w:val="4A4A4A"/>
          <w:sz w:val="21"/>
          <w:szCs w:val="21"/>
          <w:lang w:eastAsia="en-GB"/>
        </w:rPr>
        <w:t>Sub-Indicator 1</w:t>
      </w:r>
      <w:r w:rsidR="006727EE">
        <w:rPr>
          <w:rFonts w:eastAsia="Times New Roman" w:cs="Times New Roman"/>
          <w:color w:val="4A4A4A"/>
          <w:sz w:val="21"/>
          <w:szCs w:val="21"/>
          <w:lang w:eastAsia="en-GB"/>
        </w:rPr>
        <w:t xml:space="preserve">: </w:t>
      </w:r>
      <w:r w:rsidRPr="0027590C">
        <w:rPr>
          <w:rFonts w:eastAsia="Times New Roman" w:cs="Times New Roman"/>
          <w:color w:val="4A4A4A"/>
          <w:sz w:val="21"/>
          <w:szCs w:val="21"/>
          <w:lang w:eastAsia="en-GB"/>
        </w:rPr>
        <w:t>Open water spatial extent data, acquired by the Landsat 5, 7 and 8 satellites at a 30 m resolution, has been generated for the entire globe from 2001-2015. From 2016 onwards (up to and including 2030), higher spatial and temporal resolution satellites, including both optical and radar satellites, will be used. For example, 20 m Sentinel 1 (radar) and 10 m Sentinel 2 (optical) satellites, used in combination with Landsat satellites, will allow for a more precise delineation of water bodies both in spatial terms (due to the higher spatial resolution) and in temporal terms (due to the higher revisit time). Additional datasets will be used refine open water spatial extent data, including the Global Reservoir and Dam (</w:t>
      </w:r>
      <w:proofErr w:type="spellStart"/>
      <w:r w:rsidRPr="0027590C">
        <w:rPr>
          <w:rFonts w:eastAsia="Times New Roman" w:cs="Times New Roman"/>
          <w:color w:val="4A4A4A"/>
          <w:sz w:val="21"/>
          <w:szCs w:val="21"/>
          <w:lang w:eastAsia="en-GB"/>
        </w:rPr>
        <w:t>GRanD</w:t>
      </w:r>
      <w:proofErr w:type="spellEnd"/>
      <w:r w:rsidRPr="0027590C">
        <w:rPr>
          <w:rFonts w:eastAsia="Times New Roman" w:cs="Times New Roman"/>
          <w:color w:val="4A4A4A"/>
          <w:sz w:val="21"/>
          <w:szCs w:val="21"/>
          <w:lang w:eastAsia="en-GB"/>
        </w:rPr>
        <w:t xml:space="preserve">) geospatial database. To generate spatial extent of vegetated wetlands, a combination of imagery from Landsat 8 and Sentinel 1 and 2 will be used. This will be augmented by other existing global datasets such as the Global Mangrove Watch (GMW) annual mangrove maps, as well as the most </w:t>
      </w:r>
      <w:proofErr w:type="gramStart"/>
      <w:r w:rsidRPr="0027590C">
        <w:rPr>
          <w:rFonts w:eastAsia="Times New Roman" w:cs="Times New Roman"/>
          <w:color w:val="4A4A4A"/>
          <w:sz w:val="21"/>
          <w:szCs w:val="21"/>
          <w:lang w:eastAsia="en-GB"/>
        </w:rPr>
        <w:t>locally-adapted</w:t>
      </w:r>
      <w:proofErr w:type="gramEnd"/>
      <w:r w:rsidRPr="0027590C">
        <w:rPr>
          <w:rFonts w:eastAsia="Times New Roman" w:cs="Times New Roman"/>
          <w:color w:val="4A4A4A"/>
          <w:sz w:val="21"/>
          <w:szCs w:val="21"/>
          <w:lang w:eastAsia="en-GB"/>
        </w:rPr>
        <w:t xml:space="preserve"> geospatial datasets capturing topography, hydrography, drainage networks, and soil types.  </w:t>
      </w:r>
    </w:p>
    <w:p w14:paraId="574CA926" w14:textId="77777777" w:rsidR="006727EE" w:rsidRPr="0027590C" w:rsidRDefault="006727EE" w:rsidP="0027590C">
      <w:pPr>
        <w:shd w:val="clear" w:color="auto" w:fill="FFFFFF"/>
        <w:spacing w:after="0"/>
        <w:rPr>
          <w:rFonts w:eastAsia="Times New Roman" w:cs="Times New Roman"/>
          <w:color w:val="4A4A4A"/>
          <w:sz w:val="21"/>
          <w:szCs w:val="21"/>
          <w:lang w:eastAsia="en-GB"/>
        </w:rPr>
      </w:pPr>
    </w:p>
    <w:p w14:paraId="317A04C1" w14:textId="30D7CE48" w:rsidR="0027590C" w:rsidRDefault="0027590C" w:rsidP="0027590C">
      <w:pPr>
        <w:shd w:val="clear" w:color="auto" w:fill="FFFFFF"/>
        <w:spacing w:after="0"/>
        <w:rPr>
          <w:rFonts w:eastAsia="Times New Roman" w:cs="Times New Roman"/>
          <w:color w:val="4A4A4A"/>
          <w:sz w:val="21"/>
          <w:szCs w:val="21"/>
          <w:lang w:eastAsia="en-GB"/>
        </w:rPr>
      </w:pPr>
      <w:r w:rsidRPr="0027590C">
        <w:rPr>
          <w:rFonts w:eastAsia="Times New Roman" w:cs="Times New Roman"/>
          <w:color w:val="4A4A4A"/>
          <w:sz w:val="21"/>
          <w:szCs w:val="21"/>
          <w:lang w:eastAsia="en-GB"/>
        </w:rPr>
        <w:t>Sub-Indicator 2</w:t>
      </w:r>
      <w:r w:rsidR="006727EE">
        <w:rPr>
          <w:rFonts w:eastAsia="Times New Roman" w:cs="Times New Roman"/>
          <w:color w:val="4A4A4A"/>
          <w:sz w:val="21"/>
          <w:szCs w:val="21"/>
          <w:lang w:eastAsia="en-GB"/>
        </w:rPr>
        <w:t xml:space="preserve">: </w:t>
      </w:r>
      <w:proofErr w:type="spellStart"/>
      <w:r w:rsidRPr="0027590C">
        <w:rPr>
          <w:rFonts w:eastAsia="Times New Roman" w:cs="Times New Roman"/>
          <w:color w:val="4A4A4A"/>
          <w:sz w:val="21"/>
          <w:szCs w:val="21"/>
          <w:lang w:eastAsia="en-GB"/>
        </w:rPr>
        <w:t>Chl</w:t>
      </w:r>
      <w:proofErr w:type="spellEnd"/>
      <w:r w:rsidRPr="0027590C">
        <w:rPr>
          <w:rFonts w:eastAsia="Times New Roman" w:cs="Times New Roman"/>
          <w:color w:val="4A4A4A"/>
          <w:sz w:val="21"/>
          <w:szCs w:val="21"/>
          <w:lang w:eastAsia="en-GB"/>
        </w:rPr>
        <w:t xml:space="preserve"> and TSS lake observations are obtained from combined Landsat and Sentinel satellites paired with instruments like OLCI, MODIS, and VIIRS. The sensor instruments used to detect TSS and </w:t>
      </w:r>
      <w:proofErr w:type="spellStart"/>
      <w:r w:rsidRPr="0027590C">
        <w:rPr>
          <w:rFonts w:eastAsia="Times New Roman" w:cs="Times New Roman"/>
          <w:color w:val="4A4A4A"/>
          <w:sz w:val="21"/>
          <w:szCs w:val="21"/>
          <w:lang w:eastAsia="en-GB"/>
        </w:rPr>
        <w:t>Chl</w:t>
      </w:r>
      <w:proofErr w:type="spellEnd"/>
      <w:r w:rsidRPr="0027590C">
        <w:rPr>
          <w:rFonts w:eastAsia="Times New Roman" w:cs="Times New Roman"/>
          <w:color w:val="4A4A4A"/>
          <w:sz w:val="21"/>
          <w:szCs w:val="21"/>
          <w:lang w:eastAsia="en-GB"/>
        </w:rPr>
        <w:t xml:space="preserve"> determine the spatial resolution of water quality within </w:t>
      </w:r>
      <w:proofErr w:type="gramStart"/>
      <w:r w:rsidRPr="0027590C">
        <w:rPr>
          <w:rFonts w:eastAsia="Times New Roman" w:cs="Times New Roman"/>
          <w:color w:val="4A4A4A"/>
          <w:sz w:val="21"/>
          <w:szCs w:val="21"/>
          <w:lang w:eastAsia="en-GB"/>
        </w:rPr>
        <w:t>lakes which</w:t>
      </w:r>
      <w:proofErr w:type="gramEnd"/>
      <w:r w:rsidRPr="0027590C">
        <w:rPr>
          <w:rFonts w:eastAsia="Times New Roman" w:cs="Times New Roman"/>
          <w:color w:val="4A4A4A"/>
          <w:sz w:val="21"/>
          <w:szCs w:val="21"/>
          <w:lang w:eastAsia="en-GB"/>
        </w:rPr>
        <w:t xml:space="preserve"> can be detected. Some of the more accurate water quality sensors have 250-350 meter resolution, while less accurate sensors can detect TSS and </w:t>
      </w:r>
      <w:proofErr w:type="spellStart"/>
      <w:r w:rsidRPr="0027590C">
        <w:rPr>
          <w:rFonts w:eastAsia="Times New Roman" w:cs="Times New Roman"/>
          <w:color w:val="4A4A4A"/>
          <w:sz w:val="21"/>
          <w:szCs w:val="21"/>
          <w:lang w:eastAsia="en-GB"/>
        </w:rPr>
        <w:t>Chl</w:t>
      </w:r>
      <w:proofErr w:type="spellEnd"/>
      <w:r w:rsidRPr="0027590C">
        <w:rPr>
          <w:rFonts w:eastAsia="Times New Roman" w:cs="Times New Roman"/>
          <w:color w:val="4A4A4A"/>
          <w:sz w:val="21"/>
          <w:szCs w:val="21"/>
          <w:lang w:eastAsia="en-GB"/>
        </w:rPr>
        <w:t xml:space="preserve"> changes to 100 m resolution.  </w:t>
      </w:r>
    </w:p>
    <w:p w14:paraId="07CB912A" w14:textId="77777777" w:rsidR="0027590C" w:rsidRPr="0027590C" w:rsidRDefault="0027590C" w:rsidP="0027590C">
      <w:pPr>
        <w:shd w:val="clear" w:color="auto" w:fill="FFFFFF"/>
        <w:spacing w:after="0"/>
        <w:rPr>
          <w:rFonts w:eastAsia="Times New Roman" w:cs="Times New Roman"/>
          <w:color w:val="4A4A4A"/>
          <w:sz w:val="21"/>
          <w:szCs w:val="21"/>
          <w:lang w:eastAsia="en-GB"/>
        </w:rPr>
      </w:pPr>
    </w:p>
    <w:p w14:paraId="154923BB" w14:textId="0FABBE57" w:rsidR="0027590C" w:rsidRDefault="0027590C" w:rsidP="0027590C">
      <w:pPr>
        <w:shd w:val="clear" w:color="auto" w:fill="FFFFFF"/>
        <w:spacing w:after="0"/>
        <w:rPr>
          <w:rFonts w:eastAsia="Times New Roman" w:cs="Times New Roman"/>
          <w:color w:val="4A4A4A"/>
          <w:sz w:val="21"/>
          <w:szCs w:val="21"/>
          <w:lang w:eastAsia="en-GB"/>
        </w:rPr>
      </w:pPr>
      <w:r w:rsidRPr="0027590C">
        <w:rPr>
          <w:rFonts w:eastAsia="Times New Roman" w:cs="Times New Roman"/>
          <w:color w:val="4A4A4A"/>
          <w:sz w:val="21"/>
          <w:szCs w:val="21"/>
          <w:lang w:eastAsia="en-GB"/>
        </w:rPr>
        <w:t>Sub-Indicator 3</w:t>
      </w:r>
      <w:r w:rsidR="006727EE">
        <w:rPr>
          <w:rFonts w:eastAsia="Times New Roman" w:cs="Times New Roman"/>
          <w:color w:val="4A4A4A"/>
          <w:sz w:val="21"/>
          <w:szCs w:val="21"/>
          <w:lang w:eastAsia="en-GB"/>
        </w:rPr>
        <w:t xml:space="preserve">: </w:t>
      </w:r>
      <w:r w:rsidRPr="0027590C">
        <w:rPr>
          <w:rFonts w:eastAsia="Times New Roman" w:cs="Times New Roman"/>
          <w:color w:val="4A4A4A"/>
          <w:sz w:val="21"/>
          <w:szCs w:val="21"/>
          <w:lang w:eastAsia="en-GB"/>
        </w:rPr>
        <w:t xml:space="preserve">The source of data for monitoring discharge for this Sub-Indicator is primarily from ground in situ measurements within rivers and estuaries, though modelled data is also acceptable. </w:t>
      </w:r>
    </w:p>
    <w:p w14:paraId="0D89BD4E" w14:textId="77777777" w:rsidR="00680993" w:rsidRPr="0027590C" w:rsidRDefault="00680993" w:rsidP="0027590C">
      <w:pPr>
        <w:shd w:val="clear" w:color="auto" w:fill="FFFFFF"/>
        <w:spacing w:after="0"/>
        <w:rPr>
          <w:rFonts w:eastAsia="Times New Roman" w:cs="Times New Roman"/>
          <w:color w:val="4A4A4A"/>
          <w:sz w:val="21"/>
          <w:szCs w:val="21"/>
          <w:lang w:eastAsia="en-GB"/>
        </w:rPr>
      </w:pPr>
    </w:p>
    <w:p w14:paraId="585BE9E6" w14:textId="14469E93" w:rsidR="0027590C" w:rsidRDefault="0027590C" w:rsidP="0027590C">
      <w:pPr>
        <w:shd w:val="clear" w:color="auto" w:fill="FFFFFF"/>
        <w:spacing w:after="0"/>
        <w:rPr>
          <w:rFonts w:eastAsia="Times New Roman" w:cs="Times New Roman"/>
          <w:color w:val="4A4A4A"/>
          <w:sz w:val="21"/>
          <w:szCs w:val="21"/>
          <w:lang w:eastAsia="en-GB"/>
        </w:rPr>
      </w:pPr>
      <w:r w:rsidRPr="0027590C">
        <w:rPr>
          <w:rFonts w:eastAsia="Times New Roman" w:cs="Times New Roman"/>
          <w:color w:val="4A4A4A"/>
          <w:sz w:val="21"/>
          <w:szCs w:val="21"/>
          <w:lang w:eastAsia="en-GB"/>
        </w:rPr>
        <w:t>Sub-Indicator 4</w:t>
      </w:r>
      <w:r w:rsidR="006727EE">
        <w:rPr>
          <w:rFonts w:eastAsia="Times New Roman" w:cs="Times New Roman"/>
          <w:color w:val="4A4A4A"/>
          <w:sz w:val="21"/>
          <w:szCs w:val="21"/>
          <w:lang w:eastAsia="en-GB"/>
        </w:rPr>
        <w:t xml:space="preserve">: </w:t>
      </w:r>
      <w:r w:rsidRPr="0027590C">
        <w:rPr>
          <w:rFonts w:eastAsia="Times New Roman" w:cs="Times New Roman"/>
          <w:color w:val="4A4A4A"/>
          <w:sz w:val="21"/>
          <w:szCs w:val="21"/>
          <w:lang w:eastAsia="en-GB"/>
        </w:rPr>
        <w:t xml:space="preserve">The source of data for monitoring water quality for this Sub-Indicator is from ground in situ measurements within water-related ecosystems. </w:t>
      </w:r>
    </w:p>
    <w:p w14:paraId="416CBFAE" w14:textId="77777777" w:rsidR="00680993" w:rsidRPr="0027590C" w:rsidRDefault="00680993" w:rsidP="0027590C">
      <w:pPr>
        <w:shd w:val="clear" w:color="auto" w:fill="FFFFFF"/>
        <w:spacing w:after="0"/>
        <w:rPr>
          <w:rFonts w:eastAsia="Times New Roman" w:cs="Times New Roman"/>
          <w:color w:val="4A4A4A"/>
          <w:sz w:val="21"/>
          <w:szCs w:val="21"/>
          <w:lang w:eastAsia="en-GB"/>
        </w:rPr>
      </w:pPr>
    </w:p>
    <w:p w14:paraId="4A3C6C9E" w14:textId="13338F81" w:rsidR="006C3248" w:rsidRPr="0008658D" w:rsidRDefault="0027590C" w:rsidP="0027590C">
      <w:pPr>
        <w:shd w:val="clear" w:color="auto" w:fill="FFFFFF"/>
        <w:spacing w:after="0"/>
        <w:rPr>
          <w:rFonts w:eastAsia="Times New Roman" w:cs="Times New Roman"/>
          <w:color w:val="4A4A4A"/>
          <w:sz w:val="21"/>
          <w:szCs w:val="21"/>
          <w:lang w:eastAsia="en-GB"/>
        </w:rPr>
      </w:pPr>
      <w:r w:rsidRPr="0027590C">
        <w:rPr>
          <w:rFonts w:eastAsia="Times New Roman" w:cs="Times New Roman"/>
          <w:color w:val="4A4A4A"/>
          <w:sz w:val="21"/>
          <w:szCs w:val="21"/>
          <w:lang w:eastAsia="en-GB"/>
        </w:rPr>
        <w:t>Sub-Indicator 5</w:t>
      </w:r>
      <w:r w:rsidR="006727EE">
        <w:rPr>
          <w:rFonts w:eastAsia="Times New Roman" w:cs="Times New Roman"/>
          <w:color w:val="4A4A4A"/>
          <w:sz w:val="21"/>
          <w:szCs w:val="21"/>
          <w:lang w:eastAsia="en-GB"/>
        </w:rPr>
        <w:t xml:space="preserve">: </w:t>
      </w:r>
      <w:r w:rsidRPr="0027590C">
        <w:rPr>
          <w:rFonts w:eastAsia="Times New Roman" w:cs="Times New Roman"/>
          <w:color w:val="4A4A4A"/>
          <w:sz w:val="21"/>
          <w:szCs w:val="21"/>
          <w:lang w:eastAsia="en-GB"/>
        </w:rPr>
        <w:t xml:space="preserve">The source of data for monitoring groundwater quantity for this Sub-Indicator is from ground in situ measurements of groundwater level within </w:t>
      </w:r>
      <w:proofErr w:type="gramStart"/>
      <w:r w:rsidRPr="0027590C">
        <w:rPr>
          <w:rFonts w:eastAsia="Times New Roman" w:cs="Times New Roman"/>
          <w:color w:val="4A4A4A"/>
          <w:sz w:val="21"/>
          <w:szCs w:val="21"/>
          <w:lang w:eastAsia="en-GB"/>
        </w:rPr>
        <w:t>aquifers,</w:t>
      </w:r>
      <w:proofErr w:type="gramEnd"/>
      <w:r w:rsidRPr="0027590C">
        <w:rPr>
          <w:rFonts w:eastAsia="Times New Roman" w:cs="Times New Roman"/>
          <w:color w:val="4A4A4A"/>
          <w:sz w:val="21"/>
          <w:szCs w:val="21"/>
          <w:lang w:eastAsia="en-GB"/>
        </w:rPr>
        <w:t xml:space="preserve"> though modelled data is also acceptable. </w:t>
      </w:r>
      <w:r w:rsidR="001F5AA4">
        <w:rPr>
          <w:rFonts w:eastAsia="Times New Roman" w:cs="Times New Roman"/>
          <w:color w:val="4A4A4A"/>
          <w:sz w:val="21"/>
          <w:szCs w:val="21"/>
          <w:lang w:eastAsia="en-GB"/>
        </w:rPr>
        <w:t xml:space="preserve">   </w:t>
      </w:r>
    </w:p>
    <w:p w14:paraId="4AEF7463" w14:textId="77777777" w:rsidR="00B8634A" w:rsidRPr="00B8634A" w:rsidRDefault="00B8634A" w:rsidP="00B8634A">
      <w:pPr>
        <w:shd w:val="clear" w:color="auto" w:fill="FFFFFF"/>
        <w:spacing w:after="0"/>
        <w:rPr>
          <w:rFonts w:eastAsia="Times New Roman" w:cs="Times New Roman"/>
          <w:color w:val="4A4A4A"/>
          <w:sz w:val="21"/>
          <w:szCs w:val="21"/>
          <w:lang w:val="fr-FR" w:eastAsia="en-GB"/>
        </w:rPr>
      </w:pPr>
    </w:p>
    <w:p w14:paraId="6103BF24" w14:textId="77777777" w:rsidR="006727EE" w:rsidRDefault="0058556D" w:rsidP="006727EE">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Collection process:</w:t>
      </w:r>
    </w:p>
    <w:p w14:paraId="18DC9CA9" w14:textId="643232FA" w:rsidR="006727EE" w:rsidRDefault="00680993" w:rsidP="006727EE">
      <w:pPr>
        <w:shd w:val="clear" w:color="auto" w:fill="FFFFFF"/>
        <w:spacing w:after="0"/>
        <w:rPr>
          <w:rFonts w:eastAsia="Times New Roman" w:cs="Times New Roman"/>
          <w:color w:val="4A4A4A"/>
          <w:sz w:val="21"/>
          <w:szCs w:val="21"/>
          <w:lang w:eastAsia="en-GB"/>
        </w:rPr>
      </w:pPr>
      <w:r w:rsidRPr="00680993">
        <w:rPr>
          <w:rFonts w:eastAsia="Times New Roman" w:cs="Times New Roman"/>
          <w:color w:val="4A4A4A"/>
          <w:sz w:val="21"/>
          <w:szCs w:val="21"/>
          <w:lang w:eastAsia="en-GB"/>
        </w:rPr>
        <w:t>Sub-Indicators 1 and 2</w:t>
      </w:r>
      <w:r w:rsidR="006727EE">
        <w:rPr>
          <w:rFonts w:eastAsia="Times New Roman" w:cs="Times New Roman"/>
          <w:color w:val="4A4A4A"/>
          <w:sz w:val="21"/>
          <w:szCs w:val="21"/>
          <w:lang w:eastAsia="en-GB"/>
        </w:rPr>
        <w:t xml:space="preserve">: </w:t>
      </w:r>
      <w:r w:rsidRPr="00680993">
        <w:rPr>
          <w:rFonts w:eastAsia="Times New Roman" w:cs="Times New Roman"/>
          <w:color w:val="4A4A4A"/>
          <w:sz w:val="21"/>
          <w:szCs w:val="21"/>
          <w:lang w:eastAsia="en-GB"/>
        </w:rPr>
        <w:t xml:space="preserve">All globally available data generated for Sub-Indicators 1 and 2 </w:t>
      </w:r>
      <w:proofErr w:type="gramStart"/>
      <w:r w:rsidR="006727EE">
        <w:rPr>
          <w:rFonts w:eastAsia="Times New Roman" w:cs="Times New Roman"/>
          <w:color w:val="4A4A4A"/>
          <w:sz w:val="21"/>
          <w:szCs w:val="21"/>
          <w:lang w:eastAsia="en-GB"/>
        </w:rPr>
        <w:t>is</w:t>
      </w:r>
      <w:proofErr w:type="gramEnd"/>
      <w:r w:rsidRPr="00680993">
        <w:rPr>
          <w:rFonts w:eastAsia="Times New Roman" w:cs="Times New Roman"/>
          <w:color w:val="4A4A4A"/>
          <w:sz w:val="21"/>
          <w:szCs w:val="21"/>
          <w:lang w:eastAsia="en-GB"/>
        </w:rPr>
        <w:t xml:space="preserve"> shared with countries for validation. This geospatial data will be generated annually at national, sub-national, and </w:t>
      </w:r>
      <w:proofErr w:type="spellStart"/>
      <w:r w:rsidRPr="00680993">
        <w:rPr>
          <w:rFonts w:eastAsia="Times New Roman" w:cs="Times New Roman"/>
          <w:color w:val="4A4A4A"/>
          <w:sz w:val="21"/>
          <w:szCs w:val="21"/>
          <w:lang w:eastAsia="en-GB"/>
        </w:rPr>
        <w:t>waterbody</w:t>
      </w:r>
      <w:proofErr w:type="spellEnd"/>
      <w:r w:rsidRPr="00680993">
        <w:rPr>
          <w:rFonts w:eastAsia="Times New Roman" w:cs="Times New Roman"/>
          <w:color w:val="4A4A4A"/>
          <w:sz w:val="21"/>
          <w:szCs w:val="21"/>
          <w:lang w:eastAsia="en-GB"/>
        </w:rPr>
        <w:t xml:space="preserve"> scales. While this data is generated annually, the measurement to report change in extent requires validation every five years. Validated annual datasets will be utilized by the custodian agencies to generate percentage changes on behalf of countries. </w:t>
      </w:r>
    </w:p>
    <w:p w14:paraId="55B85EAC" w14:textId="77777777" w:rsidR="006727EE" w:rsidRDefault="006727EE" w:rsidP="006727EE">
      <w:pPr>
        <w:shd w:val="clear" w:color="auto" w:fill="FFFFFF"/>
        <w:spacing w:after="0"/>
        <w:rPr>
          <w:rFonts w:eastAsia="Times New Roman" w:cs="Times New Roman"/>
          <w:color w:val="4A4A4A"/>
          <w:sz w:val="21"/>
          <w:szCs w:val="21"/>
          <w:lang w:eastAsia="en-GB"/>
        </w:rPr>
      </w:pPr>
    </w:p>
    <w:p w14:paraId="69BBB342" w14:textId="4AA276E7" w:rsidR="00680993" w:rsidRDefault="00680993" w:rsidP="006727EE">
      <w:pPr>
        <w:shd w:val="clear" w:color="auto" w:fill="FFFFFF"/>
        <w:spacing w:after="0"/>
        <w:rPr>
          <w:rFonts w:eastAsia="Times New Roman" w:cs="Times New Roman"/>
          <w:color w:val="4A4A4A"/>
          <w:sz w:val="21"/>
          <w:szCs w:val="21"/>
          <w:lang w:eastAsia="en-GB"/>
        </w:rPr>
      </w:pPr>
      <w:r w:rsidRPr="00680993">
        <w:rPr>
          <w:rFonts w:eastAsia="Times New Roman" w:cs="Times New Roman"/>
          <w:color w:val="4A4A4A"/>
          <w:sz w:val="21"/>
          <w:szCs w:val="21"/>
          <w:lang w:eastAsia="en-GB"/>
        </w:rPr>
        <w:t>Sub-Indicators 3, 4, and 5</w:t>
      </w:r>
      <w:r w:rsidR="006727EE">
        <w:rPr>
          <w:rFonts w:eastAsia="Times New Roman" w:cs="Times New Roman"/>
          <w:color w:val="4A4A4A"/>
          <w:sz w:val="21"/>
          <w:szCs w:val="21"/>
          <w:lang w:eastAsia="en-GB"/>
        </w:rPr>
        <w:t xml:space="preserve">:  </w:t>
      </w:r>
      <w:r w:rsidRPr="00680993">
        <w:rPr>
          <w:rFonts w:eastAsia="Times New Roman" w:cs="Times New Roman"/>
          <w:color w:val="4A4A4A"/>
          <w:sz w:val="21"/>
          <w:szCs w:val="21"/>
          <w:lang w:eastAsia="en-GB"/>
        </w:rPr>
        <w:t xml:space="preserve">All data collected within countries for Sub-Indicators 3, 4, and 5 will be submitted to the custodian agencies for review and quality assurance checks against the methodology minimum criteria. This review process will be facilitated via email communication through the global help desk. Once annual ‘raw’ data is reviewed, percentage change calculations will be completed and validated between the custodian agencies and the national representative. </w:t>
      </w:r>
    </w:p>
    <w:p w14:paraId="3F30B527" w14:textId="77777777" w:rsidR="006727EE" w:rsidRDefault="006727EE" w:rsidP="006727EE">
      <w:pPr>
        <w:shd w:val="clear" w:color="auto" w:fill="FFFFFF"/>
        <w:spacing w:after="0"/>
        <w:rPr>
          <w:rFonts w:eastAsia="Times New Roman" w:cs="Times New Roman"/>
          <w:color w:val="4A4A4A"/>
          <w:sz w:val="21"/>
          <w:szCs w:val="21"/>
          <w:lang w:eastAsia="en-GB"/>
        </w:rPr>
      </w:pPr>
    </w:p>
    <w:p w14:paraId="0B735C33" w14:textId="60D8CD6E" w:rsidR="0058556D" w:rsidRPr="00573631" w:rsidRDefault="0058556D" w:rsidP="00680993">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63A4CD5E" w14:textId="77777777" w:rsidR="0058556D" w:rsidRPr="00573631" w:rsidRDefault="0058556D" w:rsidP="0012467E">
      <w:pPr>
        <w:keepNext/>
        <w:keepLines/>
        <w:shd w:val="clear" w:color="auto" w:fill="FFFFFF"/>
        <w:spacing w:after="0"/>
        <w:rPr>
          <w:rFonts w:eastAsia="Times New Roman" w:cs="Times New Roman"/>
          <w:b/>
          <w:bCs/>
          <w:color w:val="4A4A4A"/>
          <w:sz w:val="21"/>
          <w:szCs w:val="21"/>
          <w:lang w:eastAsia="en-GB"/>
        </w:rPr>
      </w:pPr>
    </w:p>
    <w:p w14:paraId="44677BDF" w14:textId="77777777" w:rsidR="0058556D" w:rsidRPr="00573631" w:rsidRDefault="0058556D" w:rsidP="0012467E">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46C5D599" w14:textId="0B7488D1" w:rsidR="00A61D74" w:rsidRDefault="00680993" w:rsidP="00A61D74">
      <w:pPr>
        <w:shd w:val="clear" w:color="auto" w:fill="FFFFFF"/>
        <w:spacing w:after="0"/>
        <w:rPr>
          <w:rFonts w:eastAsia="Times New Roman" w:cs="Times New Roman"/>
          <w:color w:val="4A4A4A"/>
          <w:sz w:val="21"/>
          <w:szCs w:val="21"/>
          <w:lang w:eastAsia="en-GB"/>
        </w:rPr>
      </w:pPr>
      <w:r w:rsidRPr="00680993">
        <w:rPr>
          <w:rFonts w:eastAsia="Times New Roman" w:cs="Times New Roman"/>
          <w:color w:val="4A4A4A"/>
          <w:sz w:val="21"/>
          <w:szCs w:val="21"/>
          <w:lang w:eastAsia="en-GB"/>
        </w:rPr>
        <w:t>The data for Sub-Indicators 1 and 2 is available annually. For Sub-Indicators 3, 4, and 5, data is already available from some countries and national authorities should strengthen their monitoring and report efforts to expand data availability for these three sub-indicators.</w:t>
      </w:r>
    </w:p>
    <w:p w14:paraId="0FCE921B" w14:textId="77777777" w:rsidR="00680993" w:rsidRDefault="00680993" w:rsidP="00A61D74">
      <w:pPr>
        <w:shd w:val="clear" w:color="auto" w:fill="FFFFFF"/>
        <w:spacing w:after="0"/>
        <w:rPr>
          <w:rFonts w:eastAsia="Times New Roman" w:cs="Times New Roman"/>
          <w:color w:val="4A4A4A"/>
          <w:sz w:val="21"/>
          <w:szCs w:val="21"/>
          <w:lang w:eastAsia="en-GB"/>
        </w:rPr>
      </w:pPr>
    </w:p>
    <w:p w14:paraId="10B183CF" w14:textId="15C69FBC" w:rsidR="00680993" w:rsidRDefault="00680993" w:rsidP="00A61D74">
      <w:pPr>
        <w:shd w:val="clear" w:color="auto" w:fill="FFFFFF"/>
        <w:spacing w:after="0"/>
        <w:rPr>
          <w:rFonts w:eastAsia="Times New Roman" w:cs="Times New Roman"/>
          <w:color w:val="4A4A4A"/>
          <w:sz w:val="21"/>
          <w:szCs w:val="21"/>
          <w:lang w:eastAsia="en-GB"/>
        </w:rPr>
      </w:pPr>
      <w:r w:rsidRPr="00680993">
        <w:rPr>
          <w:rFonts w:eastAsia="Times New Roman" w:cs="Times New Roman"/>
          <w:color w:val="4A4A4A"/>
          <w:sz w:val="21"/>
          <w:szCs w:val="21"/>
          <w:lang w:eastAsia="en-GB"/>
        </w:rPr>
        <w:t xml:space="preserve">Data collection for </w:t>
      </w:r>
      <w:r>
        <w:rPr>
          <w:rFonts w:eastAsia="Times New Roman" w:cs="Times New Roman"/>
          <w:color w:val="4A4A4A"/>
          <w:sz w:val="21"/>
          <w:szCs w:val="21"/>
          <w:lang w:eastAsia="en-GB"/>
        </w:rPr>
        <w:t>all Sub-</w:t>
      </w:r>
      <w:r w:rsidRPr="00680993">
        <w:rPr>
          <w:rFonts w:eastAsia="Times New Roman" w:cs="Times New Roman"/>
          <w:color w:val="4A4A4A"/>
          <w:sz w:val="21"/>
          <w:szCs w:val="21"/>
          <w:lang w:eastAsia="en-GB"/>
        </w:rPr>
        <w:t xml:space="preserve">Indicators </w:t>
      </w:r>
      <w:r>
        <w:rPr>
          <w:rFonts w:eastAsia="Times New Roman" w:cs="Times New Roman"/>
          <w:color w:val="4A4A4A"/>
          <w:sz w:val="21"/>
          <w:szCs w:val="21"/>
          <w:lang w:eastAsia="en-GB"/>
        </w:rPr>
        <w:t>was included in</w:t>
      </w:r>
      <w:r w:rsidRPr="00680993">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 xml:space="preserve">a </w:t>
      </w:r>
      <w:r w:rsidRPr="00680993">
        <w:rPr>
          <w:rFonts w:eastAsia="Times New Roman" w:cs="Times New Roman"/>
          <w:color w:val="4A4A4A"/>
          <w:sz w:val="21"/>
          <w:szCs w:val="21"/>
          <w:lang w:eastAsia="en-GB"/>
        </w:rPr>
        <w:t>2017 data drive</w:t>
      </w:r>
      <w:r>
        <w:rPr>
          <w:rFonts w:eastAsia="Times New Roman" w:cs="Times New Roman"/>
          <w:color w:val="4A4A4A"/>
          <w:sz w:val="21"/>
          <w:szCs w:val="21"/>
          <w:lang w:eastAsia="en-GB"/>
        </w:rPr>
        <w:t xml:space="preserve"> to countries; however, the data is still being validated</w:t>
      </w:r>
      <w:r w:rsidRPr="00680993">
        <w:rPr>
          <w:rFonts w:eastAsia="Times New Roman" w:cs="Times New Roman"/>
          <w:color w:val="4A4A4A"/>
          <w:sz w:val="21"/>
          <w:szCs w:val="21"/>
          <w:lang w:eastAsia="en-GB"/>
        </w:rPr>
        <w:t>. In addition, national spatial extent data for 188 countries has been collected from 2001-2015 to support Sub-Indicator 1. Data for all 5 Sub-Indicators is reported to UNSD every 5 years.</w:t>
      </w:r>
    </w:p>
    <w:p w14:paraId="60977746" w14:textId="77777777" w:rsidR="00680993" w:rsidRPr="00573631" w:rsidRDefault="00680993" w:rsidP="00A61D74">
      <w:pPr>
        <w:shd w:val="clear" w:color="auto" w:fill="FFFFFF"/>
        <w:spacing w:after="0"/>
        <w:rPr>
          <w:rFonts w:eastAsia="Times New Roman" w:cs="Times New Roman"/>
          <w:color w:val="4A4A4A"/>
          <w:sz w:val="21"/>
          <w:szCs w:val="21"/>
          <w:lang w:eastAsia="en-GB"/>
        </w:rPr>
      </w:pPr>
    </w:p>
    <w:p w14:paraId="2EA02C3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6C071E18" w14:textId="6901C244" w:rsidR="00AA1E78" w:rsidRDefault="00D60BF9" w:rsidP="00D60BF9">
      <w:pPr>
        <w:keepNext/>
        <w:keepLines/>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The reporting on this indicator will follow a</w:t>
      </w:r>
      <w:r w:rsidR="00680993">
        <w:rPr>
          <w:rFonts w:eastAsia="Times New Roman" w:cs="Times New Roman"/>
          <w:color w:val="4A4A4A"/>
          <w:sz w:val="21"/>
          <w:szCs w:val="21"/>
          <w:lang w:eastAsia="en-GB"/>
        </w:rPr>
        <w:t>n annual</w:t>
      </w:r>
      <w:r>
        <w:rPr>
          <w:rFonts w:eastAsia="Times New Roman" w:cs="Times New Roman"/>
          <w:color w:val="4A4A4A"/>
          <w:sz w:val="21"/>
          <w:szCs w:val="21"/>
          <w:lang w:eastAsia="en-GB"/>
        </w:rPr>
        <w:t xml:space="preserve"> cycle. </w:t>
      </w:r>
    </w:p>
    <w:p w14:paraId="5DD36C8F" w14:textId="77777777" w:rsidR="00AA1E78" w:rsidRPr="00573631" w:rsidRDefault="00AA1E78" w:rsidP="00573631">
      <w:pPr>
        <w:keepNext/>
        <w:keepLines/>
        <w:shd w:val="clear" w:color="auto" w:fill="FFFFFF"/>
        <w:spacing w:after="0"/>
        <w:rPr>
          <w:rFonts w:eastAsia="Times New Roman" w:cs="Times New Roman"/>
          <w:color w:val="4A4A4A"/>
          <w:sz w:val="21"/>
          <w:szCs w:val="21"/>
          <w:lang w:eastAsia="en-GB"/>
        </w:rPr>
      </w:pPr>
    </w:p>
    <w:p w14:paraId="12F895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6590CF46"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7F6C9A7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2729B715" w14:textId="36C02AA7" w:rsidR="00A61D74" w:rsidRDefault="00680993" w:rsidP="00A61D74">
      <w:pPr>
        <w:shd w:val="clear" w:color="auto" w:fill="FFFFFF"/>
        <w:tabs>
          <w:tab w:val="left" w:pos="1320"/>
        </w:tabs>
        <w:spacing w:after="0"/>
        <w:rPr>
          <w:rFonts w:eastAsia="Times New Roman" w:cs="Times New Roman"/>
          <w:color w:val="4A4A4A"/>
          <w:sz w:val="21"/>
          <w:szCs w:val="21"/>
          <w:lang w:eastAsia="en-GB"/>
        </w:rPr>
      </w:pPr>
      <w:proofErr w:type="gramStart"/>
      <w:r>
        <w:rPr>
          <w:rFonts w:eastAsia="Times New Roman" w:cs="Times New Roman"/>
          <w:color w:val="4A4A4A"/>
          <w:sz w:val="21"/>
          <w:szCs w:val="21"/>
          <w:lang w:eastAsia="en-GB"/>
        </w:rPr>
        <w:t>Annual estimation of sub-indicators 1 and 2 released around May.</w:t>
      </w:r>
      <w:proofErr w:type="gramEnd"/>
      <w:r>
        <w:rPr>
          <w:rFonts w:eastAsia="Times New Roman" w:cs="Times New Roman"/>
          <w:color w:val="4A4A4A"/>
          <w:sz w:val="21"/>
          <w:szCs w:val="21"/>
          <w:lang w:eastAsia="en-GB"/>
        </w:rPr>
        <w:t xml:space="preserve"> </w:t>
      </w:r>
      <w:r w:rsidR="006727EE">
        <w:rPr>
          <w:rFonts w:eastAsia="Times New Roman" w:cs="Times New Roman"/>
          <w:color w:val="4A4A4A"/>
          <w:sz w:val="21"/>
          <w:szCs w:val="21"/>
          <w:lang w:eastAsia="en-GB"/>
        </w:rPr>
        <w:t xml:space="preserve">Every five years data will be collected through a national data drive as follows: 2017, 2022, </w:t>
      </w:r>
      <w:proofErr w:type="gramStart"/>
      <w:r w:rsidR="006727EE">
        <w:rPr>
          <w:rFonts w:eastAsia="Times New Roman" w:cs="Times New Roman"/>
          <w:color w:val="4A4A4A"/>
          <w:sz w:val="21"/>
          <w:szCs w:val="21"/>
          <w:lang w:eastAsia="en-GB"/>
        </w:rPr>
        <w:t>2027</w:t>
      </w:r>
      <w:proofErr w:type="gramEnd"/>
      <w:r w:rsidR="006727EE">
        <w:rPr>
          <w:rFonts w:eastAsia="Times New Roman" w:cs="Times New Roman"/>
          <w:color w:val="4A4A4A"/>
          <w:sz w:val="21"/>
          <w:szCs w:val="21"/>
          <w:lang w:eastAsia="en-GB"/>
        </w:rPr>
        <w:t>.</w:t>
      </w:r>
    </w:p>
    <w:p w14:paraId="4AC44621" w14:textId="77777777" w:rsidR="00680993" w:rsidRPr="00573631" w:rsidRDefault="00680993" w:rsidP="00A61D74">
      <w:pPr>
        <w:shd w:val="clear" w:color="auto" w:fill="FFFFFF"/>
        <w:tabs>
          <w:tab w:val="left" w:pos="1320"/>
        </w:tabs>
        <w:spacing w:after="0"/>
        <w:rPr>
          <w:rFonts w:eastAsia="Times New Roman" w:cs="Times New Roman"/>
          <w:color w:val="4A4A4A"/>
          <w:sz w:val="21"/>
          <w:szCs w:val="21"/>
          <w:lang w:eastAsia="en-GB"/>
        </w:rPr>
      </w:pPr>
    </w:p>
    <w:p w14:paraId="06616917"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576C650F" w14:textId="68900C1F" w:rsidR="007B234D" w:rsidRPr="00B6660F" w:rsidRDefault="007B234D" w:rsidP="006727EE">
      <w:pPr>
        <w:keepNext/>
        <w:keepLines/>
        <w:shd w:val="clear" w:color="auto" w:fill="FFFFFF"/>
        <w:spacing w:after="0"/>
        <w:jc w:val="both"/>
        <w:rPr>
          <w:rFonts w:eastAsia="Times New Roman" w:cs="Times New Roman"/>
          <w:color w:val="4A4A4A"/>
          <w:sz w:val="21"/>
          <w:szCs w:val="21"/>
          <w:lang w:eastAsia="en-GB"/>
        </w:rPr>
      </w:pPr>
      <w:r w:rsidRPr="00B6660F">
        <w:rPr>
          <w:rFonts w:eastAsia="Times New Roman" w:cs="Times New Roman"/>
          <w:color w:val="4A4A4A"/>
          <w:sz w:val="21"/>
          <w:szCs w:val="21"/>
          <w:lang w:eastAsia="en-GB"/>
        </w:rPr>
        <w:t>First reporting cycle:</w:t>
      </w:r>
      <w:r w:rsidR="00282496" w:rsidRPr="00B6660F">
        <w:rPr>
          <w:rFonts w:eastAsia="Times New Roman" w:cs="Times New Roman"/>
          <w:color w:val="4A4A4A"/>
          <w:sz w:val="21"/>
          <w:szCs w:val="21"/>
          <w:lang w:eastAsia="en-GB"/>
        </w:rPr>
        <w:t xml:space="preserve"> </w:t>
      </w:r>
      <w:r w:rsidR="0052748C" w:rsidRPr="00B6660F">
        <w:rPr>
          <w:rFonts w:eastAsia="Times New Roman" w:cs="Times New Roman"/>
          <w:color w:val="4A4A4A"/>
          <w:sz w:val="21"/>
          <w:szCs w:val="21"/>
          <w:lang w:eastAsia="en-GB"/>
        </w:rPr>
        <w:t>June 20</w:t>
      </w:r>
      <w:r w:rsidR="006727EE" w:rsidRPr="00B6660F">
        <w:rPr>
          <w:rFonts w:eastAsia="Times New Roman" w:cs="Times New Roman"/>
          <w:color w:val="4A4A4A"/>
          <w:sz w:val="21"/>
          <w:szCs w:val="21"/>
          <w:lang w:eastAsia="en-GB"/>
        </w:rPr>
        <w:t>18</w:t>
      </w:r>
      <w:r w:rsidR="00282496" w:rsidRPr="00B6660F">
        <w:rPr>
          <w:rFonts w:eastAsia="Times New Roman" w:cs="Times New Roman"/>
          <w:color w:val="4A4A4A"/>
          <w:sz w:val="21"/>
          <w:szCs w:val="21"/>
          <w:lang w:eastAsia="en-GB"/>
        </w:rPr>
        <w:t>;</w:t>
      </w:r>
      <w:r w:rsidR="006727EE" w:rsidRPr="00B6660F">
        <w:rPr>
          <w:rFonts w:eastAsia="Times New Roman" w:cs="Times New Roman"/>
          <w:color w:val="4A4A4A"/>
          <w:sz w:val="21"/>
          <w:szCs w:val="21"/>
          <w:lang w:eastAsia="en-GB"/>
        </w:rPr>
        <w:t xml:space="preserve"> </w:t>
      </w:r>
      <w:r w:rsidRPr="00B6660F">
        <w:rPr>
          <w:rFonts w:eastAsia="Times New Roman" w:cs="Times New Roman"/>
          <w:color w:val="4A4A4A"/>
          <w:sz w:val="21"/>
          <w:szCs w:val="21"/>
          <w:lang w:eastAsia="en-GB"/>
        </w:rPr>
        <w:t xml:space="preserve">Second reporting cycle: </w:t>
      </w:r>
      <w:r w:rsidR="0052748C" w:rsidRPr="00B6660F">
        <w:rPr>
          <w:rFonts w:eastAsia="Times New Roman" w:cs="Times New Roman"/>
          <w:color w:val="4A4A4A"/>
          <w:sz w:val="21"/>
          <w:szCs w:val="21"/>
          <w:lang w:eastAsia="en-GB"/>
        </w:rPr>
        <w:t>June 20</w:t>
      </w:r>
      <w:r w:rsidR="006727EE" w:rsidRPr="00B6660F">
        <w:rPr>
          <w:rFonts w:eastAsia="Times New Roman" w:cs="Times New Roman"/>
          <w:color w:val="4A4A4A"/>
          <w:sz w:val="21"/>
          <w:szCs w:val="21"/>
          <w:lang w:eastAsia="en-GB"/>
        </w:rPr>
        <w:t>23</w:t>
      </w:r>
      <w:r w:rsidR="00282496" w:rsidRPr="00B6660F">
        <w:rPr>
          <w:rFonts w:eastAsia="Times New Roman" w:cs="Times New Roman"/>
          <w:color w:val="4A4A4A"/>
          <w:sz w:val="21"/>
          <w:szCs w:val="21"/>
          <w:lang w:eastAsia="en-GB"/>
        </w:rPr>
        <w:t>;</w:t>
      </w:r>
      <w:r w:rsidR="006727EE" w:rsidRPr="00B6660F">
        <w:rPr>
          <w:rFonts w:eastAsia="Times New Roman" w:cs="Times New Roman"/>
          <w:color w:val="4A4A4A"/>
          <w:sz w:val="21"/>
          <w:szCs w:val="21"/>
          <w:lang w:eastAsia="en-GB"/>
        </w:rPr>
        <w:t xml:space="preserve"> </w:t>
      </w:r>
      <w:r w:rsidRPr="00B6660F">
        <w:rPr>
          <w:rFonts w:eastAsia="Times New Roman" w:cs="Times New Roman"/>
          <w:color w:val="4A4A4A"/>
          <w:sz w:val="21"/>
          <w:szCs w:val="21"/>
          <w:lang w:eastAsia="en-GB"/>
        </w:rPr>
        <w:t xml:space="preserve">Third reporting cycle: </w:t>
      </w:r>
      <w:r w:rsidR="0052748C" w:rsidRPr="00B6660F">
        <w:rPr>
          <w:rFonts w:eastAsia="Times New Roman" w:cs="Times New Roman"/>
          <w:color w:val="4A4A4A"/>
          <w:sz w:val="21"/>
          <w:szCs w:val="21"/>
          <w:lang w:eastAsia="en-GB"/>
        </w:rPr>
        <w:t>June 20</w:t>
      </w:r>
      <w:r w:rsidR="006727EE" w:rsidRPr="00B6660F">
        <w:rPr>
          <w:rFonts w:eastAsia="Times New Roman" w:cs="Times New Roman"/>
          <w:color w:val="4A4A4A"/>
          <w:sz w:val="21"/>
          <w:szCs w:val="21"/>
          <w:lang w:eastAsia="en-GB"/>
        </w:rPr>
        <w:t>28</w:t>
      </w:r>
      <w:r w:rsidR="00282496" w:rsidRPr="00B6660F">
        <w:rPr>
          <w:rFonts w:eastAsia="Times New Roman" w:cs="Times New Roman"/>
          <w:color w:val="4A4A4A"/>
          <w:sz w:val="21"/>
          <w:szCs w:val="21"/>
          <w:lang w:eastAsia="en-GB"/>
        </w:rPr>
        <w:t>.</w:t>
      </w:r>
    </w:p>
    <w:p w14:paraId="746DD3CD"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34635A2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Data providers</w:t>
      </w:r>
    </w:p>
    <w:p w14:paraId="4C91676F" w14:textId="4B76C8C1" w:rsidR="00F41D1A" w:rsidRDefault="0052748C" w:rsidP="0052748C">
      <w:pPr>
        <w:pStyle w:val="ListParagraph"/>
        <w:numPr>
          <w:ilvl w:val="0"/>
          <w:numId w:val="36"/>
        </w:num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GEMS/Water National Focal Points</w:t>
      </w:r>
      <w:r w:rsidR="006727EE">
        <w:rPr>
          <w:rFonts w:eastAsia="Times New Roman" w:cs="Times New Roman"/>
          <w:color w:val="4A4A4A"/>
          <w:sz w:val="21"/>
          <w:szCs w:val="21"/>
          <w:lang w:eastAsia="en-GB"/>
        </w:rPr>
        <w:t>, in consultation with NSOs</w:t>
      </w:r>
    </w:p>
    <w:p w14:paraId="2858E592" w14:textId="3497EBC9" w:rsidR="006727EE" w:rsidRPr="00D60BF9" w:rsidRDefault="006727EE" w:rsidP="0052748C">
      <w:pPr>
        <w:pStyle w:val="ListParagraph"/>
        <w:numPr>
          <w:ilvl w:val="0"/>
          <w:numId w:val="36"/>
        </w:num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Satellite data from ESA and NASA</w:t>
      </w:r>
    </w:p>
    <w:p w14:paraId="0139E119" w14:textId="77777777" w:rsidR="00F61DC7" w:rsidRPr="00573631" w:rsidRDefault="00F61DC7" w:rsidP="00A61D74">
      <w:pPr>
        <w:shd w:val="clear" w:color="auto" w:fill="FFFFFF"/>
        <w:spacing w:after="0"/>
        <w:rPr>
          <w:rFonts w:eastAsia="Times New Roman" w:cs="Times New Roman"/>
          <w:color w:val="4A4A4A"/>
          <w:sz w:val="21"/>
          <w:szCs w:val="21"/>
          <w:lang w:eastAsia="en-GB"/>
        </w:rPr>
      </w:pPr>
    </w:p>
    <w:p w14:paraId="247D3268"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0527717E" w14:textId="6DA7D624" w:rsidR="00F41D1A" w:rsidRPr="00D60BF9" w:rsidRDefault="0052748C" w:rsidP="0052748C">
      <w:pPr>
        <w:pStyle w:val="ListParagraph"/>
        <w:numPr>
          <w:ilvl w:val="0"/>
          <w:numId w:val="30"/>
        </w:numPr>
        <w:shd w:val="clear" w:color="auto" w:fill="FFFFFF"/>
        <w:spacing w:after="0"/>
        <w:rPr>
          <w:rFonts w:eastAsia="Times New Roman" w:cs="Times New Roman"/>
          <w:color w:val="4A4A4A"/>
          <w:sz w:val="21"/>
          <w:szCs w:val="21"/>
          <w:lang w:eastAsia="en-GB"/>
        </w:rPr>
      </w:pPr>
      <w:r w:rsidRPr="0052748C">
        <w:t xml:space="preserve"> </w:t>
      </w:r>
      <w:r w:rsidRPr="0052748C">
        <w:rPr>
          <w:rFonts w:eastAsia="Times New Roman" w:cs="Times New Roman"/>
          <w:color w:val="4A4A4A"/>
          <w:sz w:val="21"/>
          <w:szCs w:val="21"/>
          <w:lang w:eastAsia="en-GB"/>
        </w:rPr>
        <w:t>UN Environment (United Nations Environment Programme)</w:t>
      </w:r>
      <w:r>
        <w:rPr>
          <w:rFonts w:eastAsia="Times New Roman" w:cs="Times New Roman"/>
          <w:color w:val="4A4A4A"/>
          <w:sz w:val="21"/>
          <w:szCs w:val="21"/>
          <w:lang w:eastAsia="en-GB"/>
        </w:rPr>
        <w:t xml:space="preserve"> </w:t>
      </w:r>
    </w:p>
    <w:p w14:paraId="5539A4CC"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1F73FE87"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3FF84168" w14:textId="77777777" w:rsidR="006B6B81" w:rsidRDefault="006B6B81" w:rsidP="00573631">
      <w:pPr>
        <w:shd w:val="clear" w:color="auto" w:fill="FFFFFF"/>
        <w:spacing w:after="0"/>
        <w:rPr>
          <w:rFonts w:eastAsia="Times New Roman" w:cs="Times New Roman"/>
          <w:color w:val="4A4A4A"/>
          <w:sz w:val="18"/>
          <w:szCs w:val="21"/>
          <w:lang w:eastAsia="en-GB"/>
        </w:rPr>
      </w:pPr>
    </w:p>
    <w:p w14:paraId="31F20DBF" w14:textId="384E999D"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URL:</w:t>
      </w:r>
      <w:r w:rsidR="0052748C">
        <w:rPr>
          <w:rFonts w:eastAsia="Times New Roman" w:cs="Times New Roman"/>
          <w:b/>
          <w:bCs/>
          <w:color w:val="4A4A4A"/>
          <w:sz w:val="21"/>
          <w:szCs w:val="21"/>
          <w:lang w:eastAsia="en-GB"/>
        </w:rPr>
        <w:t xml:space="preserve"> </w:t>
      </w:r>
      <w:r w:rsidR="0052748C" w:rsidRPr="0052748C">
        <w:rPr>
          <w:rFonts w:eastAsia="Times New Roman" w:cs="Times New Roman"/>
          <w:b/>
          <w:bCs/>
          <w:color w:val="4A4A4A"/>
          <w:sz w:val="21"/>
          <w:szCs w:val="21"/>
          <w:lang w:eastAsia="en-GB"/>
        </w:rPr>
        <w:t>http://www.sdg6monitoring.org/indicators/target-6</w:t>
      </w:r>
      <w:r w:rsidR="006727EE">
        <w:rPr>
          <w:rFonts w:eastAsia="Times New Roman" w:cs="Times New Roman"/>
          <w:b/>
          <w:bCs/>
          <w:color w:val="4A4A4A"/>
          <w:sz w:val="21"/>
          <w:szCs w:val="21"/>
          <w:lang w:eastAsia="en-GB"/>
        </w:rPr>
        <w:t>6</w:t>
      </w:r>
      <w:r w:rsidR="0052748C" w:rsidRPr="0052748C">
        <w:rPr>
          <w:rFonts w:eastAsia="Times New Roman" w:cs="Times New Roman"/>
          <w:b/>
          <w:bCs/>
          <w:color w:val="4A4A4A"/>
          <w:sz w:val="21"/>
          <w:szCs w:val="21"/>
          <w:lang w:eastAsia="en-GB"/>
        </w:rPr>
        <w:t>/indicators6</w:t>
      </w:r>
      <w:r w:rsidR="006727EE">
        <w:rPr>
          <w:rFonts w:eastAsia="Times New Roman" w:cs="Times New Roman"/>
          <w:b/>
          <w:bCs/>
          <w:color w:val="4A4A4A"/>
          <w:sz w:val="21"/>
          <w:szCs w:val="21"/>
          <w:lang w:eastAsia="en-GB"/>
        </w:rPr>
        <w:t>61</w:t>
      </w:r>
      <w:r w:rsidR="0052748C" w:rsidRPr="0052748C">
        <w:rPr>
          <w:rFonts w:eastAsia="Times New Roman" w:cs="Times New Roman"/>
          <w:b/>
          <w:bCs/>
          <w:color w:val="4A4A4A"/>
          <w:sz w:val="21"/>
          <w:szCs w:val="21"/>
          <w:lang w:eastAsia="en-GB"/>
        </w:rPr>
        <w:t>/</w:t>
      </w:r>
    </w:p>
    <w:p w14:paraId="764965BE"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D1340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0CC653F4" w14:textId="77777777" w:rsidR="006B6B81" w:rsidRDefault="006B6B81" w:rsidP="00D60BF9">
      <w:pPr>
        <w:shd w:val="clear" w:color="auto" w:fill="FFFFFF"/>
        <w:spacing w:after="0"/>
        <w:jc w:val="both"/>
        <w:rPr>
          <w:rFonts w:eastAsia="Times New Roman" w:cs="Times New Roman"/>
          <w:color w:val="4A4A4A"/>
          <w:sz w:val="18"/>
          <w:szCs w:val="21"/>
          <w:lang w:eastAsia="en-GB"/>
        </w:rPr>
      </w:pPr>
    </w:p>
    <w:p w14:paraId="2F8F75E8" w14:textId="47B1FC6A" w:rsidR="0058556D" w:rsidRDefault="006727EE" w:rsidP="006727EE">
      <w:pPr>
        <w:shd w:val="clear" w:color="auto" w:fill="FFFFFF"/>
        <w:spacing w:after="0"/>
        <w:jc w:val="both"/>
        <w:rPr>
          <w:rFonts w:eastAsia="Times New Roman" w:cs="Times New Roman"/>
          <w:color w:val="4A4A4A"/>
          <w:sz w:val="21"/>
          <w:szCs w:val="21"/>
          <w:lang w:eastAsia="en-GB"/>
        </w:rPr>
      </w:pPr>
      <w:r w:rsidRPr="006727EE">
        <w:rPr>
          <w:rFonts w:eastAsia="Times New Roman" w:cs="Times New Roman"/>
          <w:color w:val="4A4A4A"/>
          <w:sz w:val="21"/>
          <w:szCs w:val="21"/>
          <w:lang w:eastAsia="en-GB"/>
        </w:rPr>
        <w:t>6.3.2, 6.4.1, 6.4.2, 6.5.1, 6.5.2, 15.3.1</w:t>
      </w:r>
    </w:p>
    <w:p w14:paraId="122D3940" w14:textId="77777777" w:rsidR="006727EE" w:rsidRDefault="006727EE" w:rsidP="006727EE">
      <w:pPr>
        <w:shd w:val="clear" w:color="auto" w:fill="FFFFFF"/>
        <w:spacing w:after="0"/>
        <w:jc w:val="both"/>
        <w:rPr>
          <w:rFonts w:eastAsia="Times New Roman" w:cs="Times New Roman"/>
          <w:color w:val="4A4A4A"/>
          <w:sz w:val="21"/>
          <w:szCs w:val="21"/>
          <w:lang w:eastAsia="en-GB"/>
        </w:rPr>
      </w:pPr>
    </w:p>
    <w:p w14:paraId="196632E0" w14:textId="15422EAB" w:rsidR="006727EE" w:rsidRPr="00573631" w:rsidRDefault="006727EE" w:rsidP="006727EE">
      <w:pPr>
        <w:pBdr>
          <w:bottom w:val="single" w:sz="12" w:space="4" w:color="DDDDDD"/>
        </w:pBdr>
        <w:shd w:val="clear" w:color="auto" w:fill="FFFFFF"/>
        <w:spacing w:after="0"/>
        <w:outlineLvl w:val="2"/>
        <w:rPr>
          <w:rFonts w:eastAsia="Times New Roman" w:cs="Times New Roman"/>
          <w:color w:val="1C75BC"/>
          <w:sz w:val="36"/>
          <w:szCs w:val="36"/>
          <w:lang w:eastAsia="en-GB"/>
        </w:rPr>
      </w:pPr>
      <w:r>
        <w:rPr>
          <w:rFonts w:eastAsia="Times New Roman" w:cs="Times New Roman"/>
          <w:color w:val="1C75BC"/>
          <w:sz w:val="36"/>
          <w:szCs w:val="36"/>
          <w:lang w:eastAsia="en-GB"/>
        </w:rPr>
        <w:t>Additional information</w:t>
      </w:r>
    </w:p>
    <w:p w14:paraId="00BA6BDC" w14:textId="77777777" w:rsidR="006727EE" w:rsidRDefault="006727EE" w:rsidP="006727EE">
      <w:pPr>
        <w:shd w:val="clear" w:color="auto" w:fill="FFFFFF"/>
        <w:spacing w:after="0"/>
        <w:jc w:val="both"/>
        <w:rPr>
          <w:rFonts w:eastAsia="Times New Roman" w:cs="Times New Roman"/>
          <w:color w:val="4A4A4A"/>
          <w:sz w:val="18"/>
          <w:szCs w:val="21"/>
          <w:lang w:eastAsia="en-GB"/>
        </w:rPr>
      </w:pPr>
    </w:p>
    <w:p w14:paraId="27D801A6" w14:textId="7FEA997A" w:rsidR="006727EE" w:rsidRPr="006727EE" w:rsidRDefault="006727EE" w:rsidP="006727EE">
      <w:pPr>
        <w:shd w:val="clear" w:color="auto" w:fill="FFFFFF"/>
        <w:spacing w:after="0"/>
        <w:jc w:val="both"/>
        <w:rPr>
          <w:rFonts w:eastAsia="Times New Roman" w:cs="Times New Roman"/>
          <w:color w:val="4A4A4A"/>
          <w:sz w:val="21"/>
          <w:szCs w:val="21"/>
          <w:lang w:eastAsia="en-GB"/>
        </w:rPr>
      </w:pPr>
      <w:r w:rsidRPr="006727EE">
        <w:rPr>
          <w:rFonts w:eastAsia="Times New Roman" w:cs="Times New Roman"/>
          <w:color w:val="4A4A4A"/>
          <w:sz w:val="21"/>
          <w:szCs w:val="21"/>
          <w:lang w:eastAsia="en-GB"/>
        </w:rPr>
        <w:t xml:space="preserve">The methodology was tested in two pilot phases. The first of these involved designing the methodology in consultation with countries resulting in a first draft of the </w:t>
      </w:r>
      <w:proofErr w:type="gramStart"/>
      <w:r w:rsidRPr="006727EE">
        <w:rPr>
          <w:rFonts w:eastAsia="Times New Roman" w:cs="Times New Roman"/>
          <w:color w:val="4A4A4A"/>
          <w:sz w:val="21"/>
          <w:szCs w:val="21"/>
          <w:lang w:eastAsia="en-GB"/>
        </w:rPr>
        <w:t>methodology which</w:t>
      </w:r>
      <w:proofErr w:type="gramEnd"/>
      <w:r w:rsidRPr="006727EE">
        <w:rPr>
          <w:rFonts w:eastAsia="Times New Roman" w:cs="Times New Roman"/>
          <w:color w:val="4A4A4A"/>
          <w:sz w:val="21"/>
          <w:szCs w:val="21"/>
          <w:lang w:eastAsia="en-GB"/>
        </w:rPr>
        <w:t xml:space="preserve"> was reviewed and strengthened by the Target Team. In early 2016, the draft methodology was pilot tested in five countries between April and November 2016 through workshops: Jordan, the Netherlands, Peru, Senegal, and Uganda. In each of these countries, various participants from national entities and government sectors were engaged to obtain wide feedback on the technical feasibility of the draft methodology. </w:t>
      </w:r>
    </w:p>
    <w:p w14:paraId="5FB40D11" w14:textId="24C3F2A8" w:rsidR="006727EE" w:rsidRPr="00573631" w:rsidRDefault="006727EE" w:rsidP="006727EE">
      <w:pPr>
        <w:shd w:val="clear" w:color="auto" w:fill="FFFFFF"/>
        <w:spacing w:after="0"/>
        <w:jc w:val="both"/>
        <w:rPr>
          <w:rFonts w:eastAsia="Times New Roman" w:cs="Times New Roman"/>
          <w:color w:val="4A4A4A"/>
          <w:sz w:val="21"/>
          <w:szCs w:val="21"/>
          <w:lang w:eastAsia="en-GB"/>
        </w:rPr>
      </w:pPr>
      <w:r w:rsidRPr="006727EE">
        <w:rPr>
          <w:rFonts w:eastAsia="Times New Roman" w:cs="Times New Roman"/>
          <w:color w:val="4A4A4A"/>
          <w:sz w:val="21"/>
          <w:szCs w:val="21"/>
          <w:lang w:eastAsia="en-GB"/>
        </w:rPr>
        <w:t>During the 2016 country pilots of the draft methodology, the NSO from each of the 5 countries was consulted and engaged in the process. During the 2017 pilot methodology data drive, the initial request for data was communicated to all NSOs. In addition, in October 2017 national data on spatial extent of open water (derived from earth observations) was shared with 188 countries, directly via their NSOs (see further details above).</w:t>
      </w:r>
    </w:p>
    <w:sectPr w:rsidR="006727EE" w:rsidRPr="00573631" w:rsidSect="00571DE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361E65" w14:textId="77777777" w:rsidR="00A114D5" w:rsidRDefault="00A114D5" w:rsidP="00887DE2">
      <w:pPr>
        <w:spacing w:after="0" w:line="240" w:lineRule="auto"/>
      </w:pPr>
      <w:r>
        <w:separator/>
      </w:r>
    </w:p>
  </w:endnote>
  <w:endnote w:type="continuationSeparator" w:id="0">
    <w:p w14:paraId="28D8D2C5" w14:textId="77777777" w:rsidR="00A114D5" w:rsidRDefault="00A114D5" w:rsidP="0088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Cambria Math">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EDA62" w14:textId="77777777" w:rsidR="00A114D5" w:rsidRDefault="00A114D5" w:rsidP="00887DE2">
      <w:pPr>
        <w:spacing w:after="0" w:line="240" w:lineRule="auto"/>
      </w:pPr>
      <w:r>
        <w:separator/>
      </w:r>
    </w:p>
  </w:footnote>
  <w:footnote w:type="continuationSeparator" w:id="0">
    <w:p w14:paraId="79633BBB" w14:textId="77777777" w:rsidR="00A114D5" w:rsidRDefault="00A114D5" w:rsidP="00887DE2">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E5174"/>
    <w:multiLevelType w:val="hybridMultilevel"/>
    <w:tmpl w:val="3B801B2E"/>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A187981"/>
    <w:multiLevelType w:val="hybridMultilevel"/>
    <w:tmpl w:val="27E4A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77565B"/>
    <w:multiLevelType w:val="hybridMultilevel"/>
    <w:tmpl w:val="52760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013B1A"/>
    <w:multiLevelType w:val="hybridMultilevel"/>
    <w:tmpl w:val="6D026E00"/>
    <w:lvl w:ilvl="0" w:tplc="8050FC04">
      <w:start w:val="1"/>
      <w:numFmt w:val="decimal"/>
      <w:lvlText w:val="%1."/>
      <w:lvlJc w:val="left"/>
      <w:pPr>
        <w:ind w:left="360" w:hanging="360"/>
      </w:pPr>
      <w:rPr>
        <w:rFonts w:hint="eastAsia"/>
        <w:b w:val="0"/>
        <w:sz w:val="20"/>
        <w:szCs w:val="20"/>
        <w:lang w:val="en-GB"/>
      </w:rPr>
    </w:lvl>
    <w:lvl w:ilvl="1" w:tplc="98E40D06">
      <w:start w:val="1"/>
      <w:numFmt w:val="lowerLetter"/>
      <w:lvlText w:val="(%2)"/>
      <w:lvlJc w:val="left"/>
      <w:pPr>
        <w:ind w:left="1080" w:hanging="360"/>
      </w:pPr>
      <w:rPr>
        <w:rFonts w:ascii="Times New Roman" w:eastAsia="Times New Roman" w:hAnsi="Times New Roman" w:cs="Times New Roman"/>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9BC70C5"/>
    <w:multiLevelType w:val="hybridMultilevel"/>
    <w:tmpl w:val="2F6EE4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BC50769"/>
    <w:multiLevelType w:val="hybridMultilevel"/>
    <w:tmpl w:val="94B46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67FB7"/>
    <w:multiLevelType w:val="hybridMultilevel"/>
    <w:tmpl w:val="E21C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521FA2"/>
    <w:multiLevelType w:val="hybridMultilevel"/>
    <w:tmpl w:val="8C9E290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B615BE"/>
    <w:multiLevelType w:val="hybridMultilevel"/>
    <w:tmpl w:val="FBD6F9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A82AC6"/>
    <w:multiLevelType w:val="hybridMultilevel"/>
    <w:tmpl w:val="62EC6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1B309D"/>
    <w:multiLevelType w:val="hybridMultilevel"/>
    <w:tmpl w:val="871CA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B3591E"/>
    <w:multiLevelType w:val="hybridMultilevel"/>
    <w:tmpl w:val="1034FF40"/>
    <w:lvl w:ilvl="0" w:tplc="EBE67D10">
      <w:start w:val="1"/>
      <w:numFmt w:val="lowerRoman"/>
      <w:lvlText w:val="%1."/>
      <w:lvlJc w:val="righ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756EA5"/>
    <w:multiLevelType w:val="hybridMultilevel"/>
    <w:tmpl w:val="1E783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CC28AA"/>
    <w:multiLevelType w:val="hybridMultilevel"/>
    <w:tmpl w:val="748A3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0D003D"/>
    <w:multiLevelType w:val="hybridMultilevel"/>
    <w:tmpl w:val="FBD6F9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EF3BE9"/>
    <w:multiLevelType w:val="hybridMultilevel"/>
    <w:tmpl w:val="B5900136"/>
    <w:lvl w:ilvl="0" w:tplc="AD58A2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6651A2"/>
    <w:multiLevelType w:val="hybridMultilevel"/>
    <w:tmpl w:val="FBD6F9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CD5044"/>
    <w:multiLevelType w:val="hybridMultilevel"/>
    <w:tmpl w:val="31D4E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E4621B"/>
    <w:multiLevelType w:val="hybridMultilevel"/>
    <w:tmpl w:val="8C9E290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9D7AA3"/>
    <w:multiLevelType w:val="hybridMultilevel"/>
    <w:tmpl w:val="3CA4C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CE5358"/>
    <w:multiLevelType w:val="hybridMultilevel"/>
    <w:tmpl w:val="1E783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CD421A"/>
    <w:multiLevelType w:val="hybridMultilevel"/>
    <w:tmpl w:val="36E2E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0573A6"/>
    <w:multiLevelType w:val="hybridMultilevel"/>
    <w:tmpl w:val="EC5404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808365B"/>
    <w:multiLevelType w:val="hybridMultilevel"/>
    <w:tmpl w:val="04C8B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5C4E0B"/>
    <w:multiLevelType w:val="hybridMultilevel"/>
    <w:tmpl w:val="72DCB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286A12"/>
    <w:multiLevelType w:val="hybridMultilevel"/>
    <w:tmpl w:val="8C9E290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0D1AF3"/>
    <w:multiLevelType w:val="hybridMultilevel"/>
    <w:tmpl w:val="FF6C5E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C750D4B"/>
    <w:multiLevelType w:val="hybridMultilevel"/>
    <w:tmpl w:val="78E0D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0E7B3A"/>
    <w:multiLevelType w:val="hybridMultilevel"/>
    <w:tmpl w:val="68E48530"/>
    <w:lvl w:ilvl="0" w:tplc="04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2">
    <w:nsid w:val="6DC855D3"/>
    <w:multiLevelType w:val="hybridMultilevel"/>
    <w:tmpl w:val="A1E08F04"/>
    <w:lvl w:ilvl="0" w:tplc="0409001B">
      <w:start w:val="1"/>
      <w:numFmt w:val="lowerRoman"/>
      <w:lvlText w:val="%1."/>
      <w:lvlJc w:val="righ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33">
    <w:nsid w:val="6E284E77"/>
    <w:multiLevelType w:val="hybridMultilevel"/>
    <w:tmpl w:val="A348A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831915"/>
    <w:multiLevelType w:val="hybridMultilevel"/>
    <w:tmpl w:val="EDB27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9168A1"/>
    <w:multiLevelType w:val="hybridMultilevel"/>
    <w:tmpl w:val="3D3214DC"/>
    <w:lvl w:ilvl="0" w:tplc="5B22C392">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C92408"/>
    <w:multiLevelType w:val="hybridMultilevel"/>
    <w:tmpl w:val="2162037E"/>
    <w:lvl w:ilvl="0" w:tplc="1E2E409E">
      <w:start w:val="1"/>
      <w:numFmt w:val="decimal"/>
      <w:lvlText w:val="%1."/>
      <w:lvlJc w:val="left"/>
      <w:pPr>
        <w:ind w:left="1778" w:hanging="360"/>
      </w:pPr>
      <w:rPr>
        <w:rFonts w:hint="eastAsia"/>
        <w:b w:val="0"/>
        <w:sz w:val="20"/>
        <w:szCs w:val="20"/>
      </w:rPr>
    </w:lvl>
    <w:lvl w:ilvl="1" w:tplc="98E40D06">
      <w:start w:val="1"/>
      <w:numFmt w:val="lowerLetter"/>
      <w:lvlText w:val="(%2)"/>
      <w:lvlJc w:val="left"/>
      <w:pPr>
        <w:ind w:left="2575" w:hanging="360"/>
      </w:pPr>
      <w:rPr>
        <w:rFonts w:ascii="Times New Roman" w:eastAsia="Times New Roman" w:hAnsi="Times New Roman" w:cs="Times New Roman"/>
      </w:rPr>
    </w:lvl>
    <w:lvl w:ilvl="2" w:tplc="0409001B">
      <w:start w:val="1"/>
      <w:numFmt w:val="lowerRoman"/>
      <w:lvlText w:val="%3."/>
      <w:lvlJc w:val="right"/>
      <w:pPr>
        <w:ind w:left="3295" w:hanging="180"/>
      </w:pPr>
    </w:lvl>
    <w:lvl w:ilvl="3" w:tplc="0409000F">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37">
    <w:nsid w:val="756C7E6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1C35C0"/>
    <w:multiLevelType w:val="hybridMultilevel"/>
    <w:tmpl w:val="8C9E290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9C44DB"/>
    <w:multiLevelType w:val="hybridMultilevel"/>
    <w:tmpl w:val="7C02E2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4C121C"/>
    <w:multiLevelType w:val="hybridMultilevel"/>
    <w:tmpl w:val="C4A6AC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EAB39CC"/>
    <w:multiLevelType w:val="hybridMultilevel"/>
    <w:tmpl w:val="F4922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33"/>
  </w:num>
  <w:num w:numId="4">
    <w:abstractNumId w:val="7"/>
  </w:num>
  <w:num w:numId="5">
    <w:abstractNumId w:val="39"/>
  </w:num>
  <w:num w:numId="6">
    <w:abstractNumId w:val="11"/>
  </w:num>
  <w:num w:numId="7">
    <w:abstractNumId w:val="16"/>
  </w:num>
  <w:num w:numId="8">
    <w:abstractNumId w:val="3"/>
  </w:num>
  <w:num w:numId="9">
    <w:abstractNumId w:val="14"/>
  </w:num>
  <w:num w:numId="10">
    <w:abstractNumId w:val="8"/>
  </w:num>
  <w:num w:numId="11">
    <w:abstractNumId w:val="31"/>
  </w:num>
  <w:num w:numId="12">
    <w:abstractNumId w:val="32"/>
  </w:num>
  <w:num w:numId="13">
    <w:abstractNumId w:val="38"/>
  </w:num>
  <w:num w:numId="14">
    <w:abstractNumId w:val="19"/>
  </w:num>
  <w:num w:numId="15">
    <w:abstractNumId w:val="28"/>
  </w:num>
  <w:num w:numId="16">
    <w:abstractNumId w:val="27"/>
  </w:num>
  <w:num w:numId="17">
    <w:abstractNumId w:val="25"/>
  </w:num>
  <w:num w:numId="18">
    <w:abstractNumId w:val="23"/>
  </w:num>
  <w:num w:numId="19">
    <w:abstractNumId w:val="2"/>
  </w:num>
  <w:num w:numId="20">
    <w:abstractNumId w:val="34"/>
  </w:num>
  <w:num w:numId="21">
    <w:abstractNumId w:val="1"/>
  </w:num>
  <w:num w:numId="22">
    <w:abstractNumId w:val="9"/>
  </w:num>
  <w:num w:numId="23">
    <w:abstractNumId w:val="18"/>
  </w:num>
  <w:num w:numId="24">
    <w:abstractNumId w:val="41"/>
  </w:num>
  <w:num w:numId="25">
    <w:abstractNumId w:val="13"/>
  </w:num>
  <w:num w:numId="26">
    <w:abstractNumId w:val="20"/>
  </w:num>
  <w:num w:numId="27">
    <w:abstractNumId w:val="26"/>
  </w:num>
  <w:num w:numId="28">
    <w:abstractNumId w:val="37"/>
  </w:num>
  <w:num w:numId="29">
    <w:abstractNumId w:val="12"/>
  </w:num>
  <w:num w:numId="30">
    <w:abstractNumId w:val="10"/>
  </w:num>
  <w:num w:numId="31">
    <w:abstractNumId w:val="21"/>
  </w:num>
  <w:num w:numId="32">
    <w:abstractNumId w:val="24"/>
  </w:num>
  <w:num w:numId="33">
    <w:abstractNumId w:val="30"/>
  </w:num>
  <w:num w:numId="34">
    <w:abstractNumId w:val="5"/>
  </w:num>
  <w:num w:numId="35">
    <w:abstractNumId w:val="36"/>
  </w:num>
  <w:num w:numId="36">
    <w:abstractNumId w:val="22"/>
  </w:num>
  <w:num w:numId="37">
    <w:abstractNumId w:val="29"/>
  </w:num>
  <w:num w:numId="38">
    <w:abstractNumId w:val="4"/>
  </w:num>
  <w:num w:numId="39">
    <w:abstractNumId w:val="40"/>
  </w:num>
  <w:num w:numId="40">
    <w:abstractNumId w:val="0"/>
  </w:num>
  <w:num w:numId="41">
    <w:abstractNumId w:val="35"/>
  </w:num>
  <w:num w:numId="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Harlin">
    <w15:presenceInfo w15:providerId="AD" w15:userId="S-1-5-21-3409425046-721531827-225666627-15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56D"/>
    <w:rsid w:val="000070BA"/>
    <w:rsid w:val="000173F9"/>
    <w:rsid w:val="00042C85"/>
    <w:rsid w:val="00047DDA"/>
    <w:rsid w:val="00050AFF"/>
    <w:rsid w:val="00071F07"/>
    <w:rsid w:val="0007759D"/>
    <w:rsid w:val="000777AB"/>
    <w:rsid w:val="00077FEF"/>
    <w:rsid w:val="0008658D"/>
    <w:rsid w:val="00090FB1"/>
    <w:rsid w:val="00091A2D"/>
    <w:rsid w:val="00096186"/>
    <w:rsid w:val="000A72E4"/>
    <w:rsid w:val="000B0E2F"/>
    <w:rsid w:val="000B2430"/>
    <w:rsid w:val="000C50B3"/>
    <w:rsid w:val="000C5EE9"/>
    <w:rsid w:val="000D0B30"/>
    <w:rsid w:val="000E03F7"/>
    <w:rsid w:val="000F6B3F"/>
    <w:rsid w:val="000F6E90"/>
    <w:rsid w:val="000F703E"/>
    <w:rsid w:val="00104C0D"/>
    <w:rsid w:val="00120E86"/>
    <w:rsid w:val="0012467E"/>
    <w:rsid w:val="00125DE9"/>
    <w:rsid w:val="001332E0"/>
    <w:rsid w:val="00134DE7"/>
    <w:rsid w:val="00160F88"/>
    <w:rsid w:val="00180988"/>
    <w:rsid w:val="0018379F"/>
    <w:rsid w:val="00185354"/>
    <w:rsid w:val="001854DC"/>
    <w:rsid w:val="00194D09"/>
    <w:rsid w:val="001A5167"/>
    <w:rsid w:val="001C421F"/>
    <w:rsid w:val="001D2C8C"/>
    <w:rsid w:val="001D360D"/>
    <w:rsid w:val="001D3698"/>
    <w:rsid w:val="001F4290"/>
    <w:rsid w:val="001F4954"/>
    <w:rsid w:val="001F5AA4"/>
    <w:rsid w:val="001F7F43"/>
    <w:rsid w:val="00201F32"/>
    <w:rsid w:val="00204EBC"/>
    <w:rsid w:val="00210175"/>
    <w:rsid w:val="00210693"/>
    <w:rsid w:val="002320C5"/>
    <w:rsid w:val="00233AAD"/>
    <w:rsid w:val="00246DC0"/>
    <w:rsid w:val="00250675"/>
    <w:rsid w:val="002530EE"/>
    <w:rsid w:val="002579F6"/>
    <w:rsid w:val="00260F40"/>
    <w:rsid w:val="0026136F"/>
    <w:rsid w:val="00261A8D"/>
    <w:rsid w:val="00265876"/>
    <w:rsid w:val="0027590C"/>
    <w:rsid w:val="00282496"/>
    <w:rsid w:val="00283C1C"/>
    <w:rsid w:val="00286726"/>
    <w:rsid w:val="00291A00"/>
    <w:rsid w:val="00291A11"/>
    <w:rsid w:val="002928ED"/>
    <w:rsid w:val="002A315C"/>
    <w:rsid w:val="002A3342"/>
    <w:rsid w:val="002A64BA"/>
    <w:rsid w:val="002B4989"/>
    <w:rsid w:val="002D2DB4"/>
    <w:rsid w:val="002D714E"/>
    <w:rsid w:val="002E53C3"/>
    <w:rsid w:val="003341DA"/>
    <w:rsid w:val="00340DF1"/>
    <w:rsid w:val="00343FAA"/>
    <w:rsid w:val="00345145"/>
    <w:rsid w:val="00353C98"/>
    <w:rsid w:val="00354574"/>
    <w:rsid w:val="003559F0"/>
    <w:rsid w:val="0036581E"/>
    <w:rsid w:val="003939E2"/>
    <w:rsid w:val="00397574"/>
    <w:rsid w:val="003A7CEA"/>
    <w:rsid w:val="003C153F"/>
    <w:rsid w:val="003D1D7B"/>
    <w:rsid w:val="003F0BD3"/>
    <w:rsid w:val="00422EFA"/>
    <w:rsid w:val="004428F8"/>
    <w:rsid w:val="00445003"/>
    <w:rsid w:val="004456ED"/>
    <w:rsid w:val="004606E8"/>
    <w:rsid w:val="004841B8"/>
    <w:rsid w:val="004B09EB"/>
    <w:rsid w:val="004B0F1C"/>
    <w:rsid w:val="004B3091"/>
    <w:rsid w:val="00502DBA"/>
    <w:rsid w:val="005040C4"/>
    <w:rsid w:val="00507637"/>
    <w:rsid w:val="00514DBF"/>
    <w:rsid w:val="0052748C"/>
    <w:rsid w:val="00534E20"/>
    <w:rsid w:val="00550921"/>
    <w:rsid w:val="005544B6"/>
    <w:rsid w:val="005566F7"/>
    <w:rsid w:val="005606DD"/>
    <w:rsid w:val="00571DE3"/>
    <w:rsid w:val="00573631"/>
    <w:rsid w:val="0058556D"/>
    <w:rsid w:val="00585DDA"/>
    <w:rsid w:val="00592B8C"/>
    <w:rsid w:val="00597748"/>
    <w:rsid w:val="005D0764"/>
    <w:rsid w:val="005D0AF4"/>
    <w:rsid w:val="005D0B50"/>
    <w:rsid w:val="005E5D27"/>
    <w:rsid w:val="005F0FE7"/>
    <w:rsid w:val="005F6CCA"/>
    <w:rsid w:val="006104AF"/>
    <w:rsid w:val="006143BA"/>
    <w:rsid w:val="00621893"/>
    <w:rsid w:val="006351E1"/>
    <w:rsid w:val="00637273"/>
    <w:rsid w:val="00641EF0"/>
    <w:rsid w:val="00647CBA"/>
    <w:rsid w:val="00654844"/>
    <w:rsid w:val="006561FE"/>
    <w:rsid w:val="006727EE"/>
    <w:rsid w:val="00680993"/>
    <w:rsid w:val="006852FC"/>
    <w:rsid w:val="006B07A9"/>
    <w:rsid w:val="006B40AB"/>
    <w:rsid w:val="006B5DC5"/>
    <w:rsid w:val="006B6B81"/>
    <w:rsid w:val="006B7084"/>
    <w:rsid w:val="006C3248"/>
    <w:rsid w:val="006C6481"/>
    <w:rsid w:val="006C7D30"/>
    <w:rsid w:val="006D0C94"/>
    <w:rsid w:val="006D1C20"/>
    <w:rsid w:val="006D4B93"/>
    <w:rsid w:val="006E3C08"/>
    <w:rsid w:val="00700ACF"/>
    <w:rsid w:val="00712487"/>
    <w:rsid w:val="007231FC"/>
    <w:rsid w:val="00723ED0"/>
    <w:rsid w:val="007530CA"/>
    <w:rsid w:val="007578D9"/>
    <w:rsid w:val="0076213D"/>
    <w:rsid w:val="00763E43"/>
    <w:rsid w:val="00764EB5"/>
    <w:rsid w:val="00777A95"/>
    <w:rsid w:val="007B234D"/>
    <w:rsid w:val="007B4A78"/>
    <w:rsid w:val="007D0981"/>
    <w:rsid w:val="007D1929"/>
    <w:rsid w:val="007F0124"/>
    <w:rsid w:val="007F2F47"/>
    <w:rsid w:val="007F33BC"/>
    <w:rsid w:val="00803CF1"/>
    <w:rsid w:val="008249C5"/>
    <w:rsid w:val="00833690"/>
    <w:rsid w:val="008526F9"/>
    <w:rsid w:val="008544D9"/>
    <w:rsid w:val="00881E28"/>
    <w:rsid w:val="00887DE2"/>
    <w:rsid w:val="00892533"/>
    <w:rsid w:val="00894C4B"/>
    <w:rsid w:val="008A12E3"/>
    <w:rsid w:val="008A16AC"/>
    <w:rsid w:val="008A42FA"/>
    <w:rsid w:val="008C1C2C"/>
    <w:rsid w:val="008C2335"/>
    <w:rsid w:val="008C2CBF"/>
    <w:rsid w:val="008C3FB8"/>
    <w:rsid w:val="008C4056"/>
    <w:rsid w:val="008C67C1"/>
    <w:rsid w:val="008C7789"/>
    <w:rsid w:val="008E77DC"/>
    <w:rsid w:val="0090028D"/>
    <w:rsid w:val="00900ECF"/>
    <w:rsid w:val="00912467"/>
    <w:rsid w:val="00917F65"/>
    <w:rsid w:val="009203BA"/>
    <w:rsid w:val="009311E7"/>
    <w:rsid w:val="009830BF"/>
    <w:rsid w:val="00987013"/>
    <w:rsid w:val="009A7E3A"/>
    <w:rsid w:val="009B1265"/>
    <w:rsid w:val="009B5693"/>
    <w:rsid w:val="009B6A73"/>
    <w:rsid w:val="009D687E"/>
    <w:rsid w:val="009F6DE7"/>
    <w:rsid w:val="00A005A3"/>
    <w:rsid w:val="00A02EA5"/>
    <w:rsid w:val="00A0742D"/>
    <w:rsid w:val="00A114D5"/>
    <w:rsid w:val="00A142CB"/>
    <w:rsid w:val="00A22E9D"/>
    <w:rsid w:val="00A248AB"/>
    <w:rsid w:val="00A37FCB"/>
    <w:rsid w:val="00A54863"/>
    <w:rsid w:val="00A61D74"/>
    <w:rsid w:val="00A86102"/>
    <w:rsid w:val="00A8688B"/>
    <w:rsid w:val="00A9286F"/>
    <w:rsid w:val="00AA1E78"/>
    <w:rsid w:val="00AA3C37"/>
    <w:rsid w:val="00AA4062"/>
    <w:rsid w:val="00AB35E2"/>
    <w:rsid w:val="00AD45CC"/>
    <w:rsid w:val="00AD6065"/>
    <w:rsid w:val="00AF1CD0"/>
    <w:rsid w:val="00AF5CB4"/>
    <w:rsid w:val="00AF71D6"/>
    <w:rsid w:val="00B1251C"/>
    <w:rsid w:val="00B2750F"/>
    <w:rsid w:val="00B3175F"/>
    <w:rsid w:val="00B402D8"/>
    <w:rsid w:val="00B4137D"/>
    <w:rsid w:val="00B4237C"/>
    <w:rsid w:val="00B42FE8"/>
    <w:rsid w:val="00B52AFD"/>
    <w:rsid w:val="00B54077"/>
    <w:rsid w:val="00B6660F"/>
    <w:rsid w:val="00B83597"/>
    <w:rsid w:val="00B8634A"/>
    <w:rsid w:val="00BB1E7E"/>
    <w:rsid w:val="00BB646E"/>
    <w:rsid w:val="00BC7613"/>
    <w:rsid w:val="00BD1BA1"/>
    <w:rsid w:val="00BD46BF"/>
    <w:rsid w:val="00BE182B"/>
    <w:rsid w:val="00BE4303"/>
    <w:rsid w:val="00C07817"/>
    <w:rsid w:val="00C35BC4"/>
    <w:rsid w:val="00C41F99"/>
    <w:rsid w:val="00C43F5B"/>
    <w:rsid w:val="00C47A25"/>
    <w:rsid w:val="00C62E50"/>
    <w:rsid w:val="00C75095"/>
    <w:rsid w:val="00CA1221"/>
    <w:rsid w:val="00CB4371"/>
    <w:rsid w:val="00D010F1"/>
    <w:rsid w:val="00D01461"/>
    <w:rsid w:val="00D15975"/>
    <w:rsid w:val="00D24251"/>
    <w:rsid w:val="00D26F57"/>
    <w:rsid w:val="00D27439"/>
    <w:rsid w:val="00D40056"/>
    <w:rsid w:val="00D60BF9"/>
    <w:rsid w:val="00D70AD9"/>
    <w:rsid w:val="00D7166E"/>
    <w:rsid w:val="00D72152"/>
    <w:rsid w:val="00D8657E"/>
    <w:rsid w:val="00D927C4"/>
    <w:rsid w:val="00D94BA5"/>
    <w:rsid w:val="00D9510F"/>
    <w:rsid w:val="00DA57F0"/>
    <w:rsid w:val="00DA620D"/>
    <w:rsid w:val="00DB12D5"/>
    <w:rsid w:val="00DB3CB9"/>
    <w:rsid w:val="00DE2EA3"/>
    <w:rsid w:val="00DE5DC3"/>
    <w:rsid w:val="00DF7D8B"/>
    <w:rsid w:val="00E00D8A"/>
    <w:rsid w:val="00E11604"/>
    <w:rsid w:val="00E11D92"/>
    <w:rsid w:val="00E130A0"/>
    <w:rsid w:val="00E210C4"/>
    <w:rsid w:val="00E227D3"/>
    <w:rsid w:val="00E319C7"/>
    <w:rsid w:val="00E662E7"/>
    <w:rsid w:val="00E66409"/>
    <w:rsid w:val="00E6719F"/>
    <w:rsid w:val="00E81D5B"/>
    <w:rsid w:val="00EA40C8"/>
    <w:rsid w:val="00EB0298"/>
    <w:rsid w:val="00EB19AD"/>
    <w:rsid w:val="00EB6493"/>
    <w:rsid w:val="00ED05A9"/>
    <w:rsid w:val="00ED7201"/>
    <w:rsid w:val="00EF4CFA"/>
    <w:rsid w:val="00F12313"/>
    <w:rsid w:val="00F17257"/>
    <w:rsid w:val="00F20F3F"/>
    <w:rsid w:val="00F34D24"/>
    <w:rsid w:val="00F41D1A"/>
    <w:rsid w:val="00F556A2"/>
    <w:rsid w:val="00F61DC7"/>
    <w:rsid w:val="00F878B9"/>
    <w:rsid w:val="00FA0A34"/>
    <w:rsid w:val="00FB24E8"/>
    <w:rsid w:val="00FC18DA"/>
    <w:rsid w:val="00FC1C89"/>
    <w:rsid w:val="00FD5C03"/>
    <w:rsid w:val="00FD60DA"/>
    <w:rsid w:val="00FF0AE1"/>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6A69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FootnoteText">
    <w:name w:val="footnote text"/>
    <w:basedOn w:val="Normal"/>
    <w:link w:val="FootnoteTextChar"/>
    <w:uiPriority w:val="99"/>
    <w:unhideWhenUsed/>
    <w:rsid w:val="00887DE2"/>
    <w:pPr>
      <w:spacing w:after="0" w:line="240" w:lineRule="auto"/>
    </w:pPr>
    <w:rPr>
      <w:sz w:val="20"/>
      <w:szCs w:val="20"/>
    </w:rPr>
  </w:style>
  <w:style w:type="character" w:customStyle="1" w:styleId="FootnoteTextChar">
    <w:name w:val="Footnote Text Char"/>
    <w:basedOn w:val="DefaultParagraphFont"/>
    <w:link w:val="FootnoteText"/>
    <w:uiPriority w:val="99"/>
    <w:rsid w:val="00887DE2"/>
    <w:rPr>
      <w:sz w:val="20"/>
      <w:szCs w:val="20"/>
    </w:rPr>
  </w:style>
  <w:style w:type="character" w:styleId="FootnoteReference">
    <w:name w:val="footnote reference"/>
    <w:basedOn w:val="DefaultParagraphFont"/>
    <w:uiPriority w:val="99"/>
    <w:unhideWhenUsed/>
    <w:rsid w:val="00887DE2"/>
    <w:rPr>
      <w:vertAlign w:val="superscript"/>
    </w:rPr>
  </w:style>
  <w:style w:type="paragraph" w:customStyle="1" w:styleId="NormalNonumber">
    <w:name w:val="Normal_No_number"/>
    <w:basedOn w:val="Normal"/>
    <w:rsid w:val="008C3FB8"/>
    <w:pPr>
      <w:tabs>
        <w:tab w:val="left" w:pos="1247"/>
        <w:tab w:val="left" w:pos="1814"/>
        <w:tab w:val="left" w:pos="2381"/>
        <w:tab w:val="left" w:pos="2948"/>
        <w:tab w:val="left" w:pos="3515"/>
        <w:tab w:val="left" w:pos="4082"/>
      </w:tabs>
      <w:spacing w:after="120" w:line="240" w:lineRule="auto"/>
      <w:ind w:left="1247"/>
    </w:pPr>
    <w:rPr>
      <w:rFonts w:ascii="Times New Roman" w:eastAsia="Times New Roman" w:hAnsi="Times New Roman" w:cs="Times New Roman"/>
      <w:sz w:val="20"/>
      <w:szCs w:val="20"/>
      <w:lang w:val="fr-CA" w:eastAsia="en-US"/>
    </w:rPr>
  </w:style>
  <w:style w:type="paragraph" w:styleId="Revision">
    <w:name w:val="Revision"/>
    <w:hidden/>
    <w:uiPriority w:val="99"/>
    <w:semiHidden/>
    <w:rsid w:val="006561FE"/>
    <w:pPr>
      <w:spacing w:after="0" w:line="240" w:lineRule="auto"/>
    </w:pPr>
  </w:style>
  <w:style w:type="character" w:customStyle="1" w:styleId="ListParagraphChar">
    <w:name w:val="List Paragraph Char"/>
    <w:aliases w:val="heading 2 Char,List Paragraph 1 Char"/>
    <w:link w:val="ListParagraph"/>
    <w:uiPriority w:val="34"/>
    <w:rsid w:val="009203BA"/>
  </w:style>
  <w:style w:type="character" w:styleId="FollowedHyperlink">
    <w:name w:val="FollowedHyperlink"/>
    <w:basedOn w:val="DefaultParagraphFont"/>
    <w:uiPriority w:val="99"/>
    <w:semiHidden/>
    <w:unhideWhenUsed/>
    <w:rsid w:val="008E77DC"/>
    <w:rPr>
      <w:color w:val="800080" w:themeColor="followedHyperlink"/>
      <w:u w:val="single"/>
    </w:rPr>
  </w:style>
  <w:style w:type="character" w:customStyle="1" w:styleId="UnresolvedMention">
    <w:name w:val="Unresolved Mention"/>
    <w:basedOn w:val="DefaultParagraphFont"/>
    <w:uiPriority w:val="99"/>
    <w:semiHidden/>
    <w:unhideWhenUsed/>
    <w:rsid w:val="003D1D7B"/>
    <w:rPr>
      <w:color w:val="808080"/>
      <w:shd w:val="clear" w:color="auto" w:fill="E6E6E6"/>
    </w:rPr>
  </w:style>
  <w:style w:type="table" w:styleId="TableGrid">
    <w:name w:val="Table Grid"/>
    <w:aliases w:val="RHP Table Grid"/>
    <w:basedOn w:val="TableNormal"/>
    <w:uiPriority w:val="59"/>
    <w:rsid w:val="0027590C"/>
    <w:pPr>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FootnoteText">
    <w:name w:val="footnote text"/>
    <w:basedOn w:val="Normal"/>
    <w:link w:val="FootnoteTextChar"/>
    <w:uiPriority w:val="99"/>
    <w:unhideWhenUsed/>
    <w:rsid w:val="00887DE2"/>
    <w:pPr>
      <w:spacing w:after="0" w:line="240" w:lineRule="auto"/>
    </w:pPr>
    <w:rPr>
      <w:sz w:val="20"/>
      <w:szCs w:val="20"/>
    </w:rPr>
  </w:style>
  <w:style w:type="character" w:customStyle="1" w:styleId="FootnoteTextChar">
    <w:name w:val="Footnote Text Char"/>
    <w:basedOn w:val="DefaultParagraphFont"/>
    <w:link w:val="FootnoteText"/>
    <w:uiPriority w:val="99"/>
    <w:rsid w:val="00887DE2"/>
    <w:rPr>
      <w:sz w:val="20"/>
      <w:szCs w:val="20"/>
    </w:rPr>
  </w:style>
  <w:style w:type="character" w:styleId="FootnoteReference">
    <w:name w:val="footnote reference"/>
    <w:basedOn w:val="DefaultParagraphFont"/>
    <w:uiPriority w:val="99"/>
    <w:unhideWhenUsed/>
    <w:rsid w:val="00887DE2"/>
    <w:rPr>
      <w:vertAlign w:val="superscript"/>
    </w:rPr>
  </w:style>
  <w:style w:type="paragraph" w:customStyle="1" w:styleId="NormalNonumber">
    <w:name w:val="Normal_No_number"/>
    <w:basedOn w:val="Normal"/>
    <w:rsid w:val="008C3FB8"/>
    <w:pPr>
      <w:tabs>
        <w:tab w:val="left" w:pos="1247"/>
        <w:tab w:val="left" w:pos="1814"/>
        <w:tab w:val="left" w:pos="2381"/>
        <w:tab w:val="left" w:pos="2948"/>
        <w:tab w:val="left" w:pos="3515"/>
        <w:tab w:val="left" w:pos="4082"/>
      </w:tabs>
      <w:spacing w:after="120" w:line="240" w:lineRule="auto"/>
      <w:ind w:left="1247"/>
    </w:pPr>
    <w:rPr>
      <w:rFonts w:ascii="Times New Roman" w:eastAsia="Times New Roman" w:hAnsi="Times New Roman" w:cs="Times New Roman"/>
      <w:sz w:val="20"/>
      <w:szCs w:val="20"/>
      <w:lang w:val="fr-CA" w:eastAsia="en-US"/>
    </w:rPr>
  </w:style>
  <w:style w:type="paragraph" w:styleId="Revision">
    <w:name w:val="Revision"/>
    <w:hidden/>
    <w:uiPriority w:val="99"/>
    <w:semiHidden/>
    <w:rsid w:val="006561FE"/>
    <w:pPr>
      <w:spacing w:after="0" w:line="240" w:lineRule="auto"/>
    </w:pPr>
  </w:style>
  <w:style w:type="character" w:customStyle="1" w:styleId="ListParagraphChar">
    <w:name w:val="List Paragraph Char"/>
    <w:aliases w:val="heading 2 Char,List Paragraph 1 Char"/>
    <w:link w:val="ListParagraph"/>
    <w:uiPriority w:val="34"/>
    <w:rsid w:val="009203BA"/>
  </w:style>
  <w:style w:type="character" w:styleId="FollowedHyperlink">
    <w:name w:val="FollowedHyperlink"/>
    <w:basedOn w:val="DefaultParagraphFont"/>
    <w:uiPriority w:val="99"/>
    <w:semiHidden/>
    <w:unhideWhenUsed/>
    <w:rsid w:val="008E77DC"/>
    <w:rPr>
      <w:color w:val="800080" w:themeColor="followedHyperlink"/>
      <w:u w:val="single"/>
    </w:rPr>
  </w:style>
  <w:style w:type="character" w:customStyle="1" w:styleId="UnresolvedMention">
    <w:name w:val="Unresolved Mention"/>
    <w:basedOn w:val="DefaultParagraphFont"/>
    <w:uiPriority w:val="99"/>
    <w:semiHidden/>
    <w:unhideWhenUsed/>
    <w:rsid w:val="003D1D7B"/>
    <w:rPr>
      <w:color w:val="808080"/>
      <w:shd w:val="clear" w:color="auto" w:fill="E6E6E6"/>
    </w:rPr>
  </w:style>
  <w:style w:type="table" w:styleId="TableGrid">
    <w:name w:val="Table Grid"/>
    <w:aliases w:val="RHP Table Grid"/>
    <w:basedOn w:val="TableNormal"/>
    <w:uiPriority w:val="59"/>
    <w:rsid w:val="0027590C"/>
    <w:pPr>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stuart.crane@un.org" TargetMode="External"/><Relationship Id="rId10" Type="http://schemas.openxmlformats.org/officeDocument/2006/relationships/hyperlink" Target="http://pre-uneplive.unep.org/media/docs/graphs/aggregation_method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F6E09-752A-FB4D-A28F-D86DEE3FE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3354</Words>
  <Characters>19122</Characters>
  <Application>Microsoft Macintosh Word</Application>
  <DocSecurity>0</DocSecurity>
  <Lines>159</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United Nations</Company>
  <LinksUpToDate>false</LinksUpToDate>
  <CharactersWithSpaces>22432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Chunhong Liu</dc:creator>
  <cp:lastModifiedBy>stuart crane</cp:lastModifiedBy>
  <cp:revision>2</cp:revision>
  <cp:lastPrinted>2018-03-02T10:45:00Z</cp:lastPrinted>
  <dcterms:created xsi:type="dcterms:W3CDTF">2018-03-02T14:43:00Z</dcterms:created>
  <dcterms:modified xsi:type="dcterms:W3CDTF">2018-03-02T14:43:00Z</dcterms:modified>
</cp:coreProperties>
</file>